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rsidR="00F628D0" w:rsidRDefault="00F628D0" w14:paraId="6CA17DB3" w14:textId="67FE51D4" w:rsidRPr="00B91722">
      <w:pPr>
        <w:rPr>
          <w:lang w:val="en-US"/>
          <w:b/>
          <w:color w:val="000000"/>
          <w:rFonts w:ascii="Times New Roman" w:cs="Times New Roman" w:hAnsi="Times New Roman"/>
          <w:sz w:val="22"/>
          <w:szCs w:val="22"/>
        </w:rPr>
      </w:pPr>
      <w:r w:rsidRPr="00B91722">
        <w:rPr>
          <w:b/>
          <w:color w:val="000000"/>
          <w:rFonts w:ascii="Times New Roman" w:cs="Times New Roman" w:hAnsi="Times New Roman"/>
          <w:sz w:val="22"/>
          <w:szCs w:val="22"/>
        </w:rPr>
        <w:t>South Africa’s Intervention a</w:t>
      </w:r>
      <w:r w:rsidR="00740C5C">
        <w:rPr>
          <w:lang w:val="en-US"/>
          <w:b/>
          <w:color w:val="000000"/>
          <w:rFonts w:ascii="Times New Roman" w:cs="Times New Roman" w:hAnsi="Times New Roman"/>
          <w:sz w:val="22"/>
          <w:szCs w:val="22"/>
        </w:rPr>
        <w:t>t</w:t>
      </w:r>
      <w:r w:rsidRPr="00B91722">
        <w:rPr>
          <w:b/>
          <w:color w:val="000000"/>
          <w:rFonts w:ascii="Times New Roman" w:cs="Times New Roman" w:hAnsi="Times New Roman"/>
          <w:sz w:val="22"/>
          <w:szCs w:val="22"/>
        </w:rPr>
        <w:t xml:space="preserve"> the formal TRIPS Council meeting</w:t>
      </w:r>
      <w:r w:rsidR="00B91722">
        <w:rPr>
          <w:lang w:val="en-US"/>
          <w:b/>
          <w:color w:val="000000"/>
          <w:rFonts w:ascii="Times New Roman" w:cs="Times New Roman" w:hAnsi="Times New Roman"/>
          <w:sz w:val="22"/>
          <w:szCs w:val="22"/>
        </w:rPr>
        <w:t xml:space="preserve"> of 10 December 2020</w:t>
      </w:r>
      <w:r w:rsidR="00740C5C">
        <w:rPr>
          <w:lang w:val="en-US"/>
          <w:b/>
          <w:color w:val="000000"/>
          <w:rFonts w:ascii="Times New Roman" w:cs="Times New Roman" w:hAnsi="Times New Roman"/>
          <w:sz w:val="22"/>
          <w:szCs w:val="22"/>
        </w:rPr>
        <w:t>.</w:t>
      </w:r>
    </w:p>
    <w:p w:rsidR="00100CD3" w:rsidRDefault="00100CD3" w14:paraId="5978CB84" w14:textId="0A245B2D">
      <w:pPr>
        <w:rPr>
          <w:bCs/>
          <w:lang w:val="en-US"/>
          <w:b/>
        </w:rPr>
      </w:pPr>
    </w:p>
    <w:p w:rsidR="00B91722" w:rsidRDefault="00B91722" w14:paraId="7BA07B42" w14:textId="09097B73" w:rsidP="00F628D0">
      <w:pPr>
        <w:jc w:val="both"/>
        <w:spacing w:line="276" w:lineRule="auto"/>
        <w:rPr>
          <w:bCs/>
          <w:lang w:val="en-US"/>
          <w:color w:val="000000"/>
          <w:rFonts w:ascii="Times New Roman" w:cs="Times New Roman" w:hAnsi="Times New Roman"/>
          <w:sz w:val="22"/>
          <w:szCs w:val="22"/>
        </w:rPr>
      </w:pPr>
      <w:r>
        <w:rPr>
          <w:bCs/>
          <w:lang w:val="en-US"/>
          <w:color w:val="000000"/>
          <w:rFonts w:ascii="Times New Roman" w:cs="Times New Roman" w:hAnsi="Times New Roman"/>
          <w:sz w:val="22"/>
          <w:szCs w:val="22"/>
        </w:rPr>
        <w:t>Madame Chair,</w:t>
      </w:r>
    </w:p>
    <w:p w:rsidR="00B91722" w:rsidRDefault="00B91722" w14:paraId="4BD198A2" w14:textId="42D95EFC" w:rsidP="00F628D0">
      <w:pPr>
        <w:jc w:val="both"/>
        <w:spacing w:line="276" w:lineRule="auto"/>
        <w:rPr>
          <w:bCs/>
          <w:lang w:val="en-US"/>
          <w:color w:val="000000"/>
          <w:rFonts w:ascii="Times New Roman" w:cs="Times New Roman" w:hAnsi="Times New Roman"/>
          <w:sz w:val="22"/>
          <w:szCs w:val="22"/>
        </w:rPr>
      </w:pPr>
    </w:p>
    <w:p w:rsidR="00B91722" w:rsidRDefault="00B91722" w14:paraId="281DC51C" w14:textId="0AA2F9D1" w:rsidP="00F628D0">
      <w:pPr>
        <w:jc w:val="both"/>
        <w:spacing w:line="276" w:lineRule="auto"/>
        <w:rPr>
          <w:bCs/>
          <w:lang w:val="en-US"/>
          <w:color w:val="000000"/>
          <w:rFonts w:ascii="Times New Roman" w:cs="Times New Roman" w:hAnsi="Times New Roman"/>
          <w:sz w:val="22"/>
          <w:szCs w:val="22"/>
        </w:rPr>
      </w:pPr>
      <w:r>
        <w:rPr>
          <w:bCs/>
          <w:lang w:val="en-US"/>
          <w:color w:val="000000"/>
          <w:rFonts w:ascii="Times New Roman" w:cs="Times New Roman" w:hAnsi="Times New Roman"/>
          <w:sz w:val="22"/>
          <w:szCs w:val="22"/>
        </w:rPr>
        <w:t>Thank you for giving us the floor, like other</w:t>
      </w:r>
      <w:r w:rsidR="00BC7911">
        <w:rPr>
          <w:bCs/>
          <w:lang w:val="en-US"/>
          <w:color w:val="000000"/>
          <w:rFonts w:ascii="Times New Roman" w:cs="Times New Roman" w:hAnsi="Times New Roman"/>
          <w:sz w:val="22"/>
          <w:szCs w:val="22"/>
        </w:rPr>
        <w:t>s</w:t>
      </w:r>
      <w:r>
        <w:rPr>
          <w:bCs/>
          <w:lang w:val="en-US"/>
          <w:color w:val="000000"/>
          <w:rFonts w:ascii="Times New Roman" w:cs="Times New Roman" w:hAnsi="Times New Roman"/>
          <w:sz w:val="22"/>
          <w:szCs w:val="22"/>
        </w:rPr>
        <w:t xml:space="preserve"> we would like to thank you for the report presented this morning as well as your efforts to facilitate discussions on the waiver proposal. At the informal meeting of 20 November and </w:t>
      </w:r>
      <w:r w:rsidR="00994214">
        <w:rPr>
          <w:bCs/>
          <w:lang w:val="en-US"/>
          <w:color w:val="000000"/>
          <w:rFonts w:ascii="Times New Roman" w:cs="Times New Roman" w:hAnsi="Times New Roman"/>
          <w:sz w:val="22"/>
          <w:szCs w:val="22"/>
        </w:rPr>
        <w:t>3</w:t>
      </w:r>
      <w:r>
        <w:rPr>
          <w:bCs/>
          <w:lang w:val="en-US"/>
          <w:color w:val="000000"/>
          <w:rFonts w:ascii="Times New Roman" w:cs="Times New Roman" w:hAnsi="Times New Roman"/>
          <w:sz w:val="22"/>
          <w:szCs w:val="22"/>
        </w:rPr>
        <w:t xml:space="preserve"> December respectively, proponents reverted to questions posed by several delegations. </w:t>
      </w:r>
      <w:r w:rsidR="00BC7911">
        <w:rPr>
          <w:bCs/>
          <w:lang w:val="en-US"/>
          <w:color w:val="000000"/>
          <w:rFonts w:ascii="Times New Roman" w:cs="Times New Roman" w:hAnsi="Times New Roman"/>
          <w:sz w:val="22"/>
          <w:szCs w:val="22"/>
        </w:rPr>
        <w:t xml:space="preserve">We would like to ask that our responses during those meetings be made part of the record of today’s formal proceedings. </w:t>
      </w:r>
      <w:r w:rsidR="00B33758">
        <w:rPr>
          <w:bCs/>
          <w:lang w:val="en-US"/>
          <w:color w:val="000000"/>
          <w:rFonts w:ascii="Times New Roman" w:cs="Times New Roman" w:hAnsi="Times New Roman"/>
          <w:sz w:val="22"/>
          <w:szCs w:val="22"/>
        </w:rPr>
        <w:t>Taken up in our intervention are some of crosscutting issues raised in document IP/C/W/671, which we will revert to in writing.</w:t>
      </w:r>
      <w:r w:rsidR="00185695">
        <w:rPr>
          <w:bCs/>
          <w:lang w:val="en-US"/>
          <w:color w:val="000000"/>
          <w:rFonts w:ascii="Times New Roman" w:cs="Times New Roman" w:hAnsi="Times New Roman"/>
          <w:sz w:val="22"/>
          <w:szCs w:val="22"/>
        </w:rPr>
        <w:t xml:space="preserve"> Furthermore, I would like to thank </w:t>
      </w:r>
      <w:r w:rsidR="00DD7ED3">
        <w:rPr>
          <w:bCs/>
          <w:lang w:val="en-US"/>
          <w:color w:val="000000"/>
          <w:rFonts w:ascii="Times New Roman" w:cs="Times New Roman" w:hAnsi="Times New Roman"/>
          <w:sz w:val="22"/>
          <w:szCs w:val="22"/>
        </w:rPr>
        <w:t>all delegations that took the floor today. We have seen new members tak</w:t>
      </w:r>
      <w:r w:rsidR="00990B78">
        <w:rPr>
          <w:bCs/>
          <w:lang w:val="en-US"/>
          <w:color w:val="000000"/>
          <w:rFonts w:ascii="Times New Roman" w:cs="Times New Roman" w:hAnsi="Times New Roman"/>
          <w:sz w:val="22"/>
          <w:szCs w:val="22"/>
        </w:rPr>
        <w:t>e</w:t>
      </w:r>
      <w:r w:rsidR="00DD7ED3">
        <w:rPr>
          <w:bCs/>
          <w:lang w:val="en-US"/>
          <w:color w:val="000000"/>
          <w:rFonts w:ascii="Times New Roman" w:cs="Times New Roman" w:hAnsi="Times New Roman"/>
          <w:sz w:val="22"/>
          <w:szCs w:val="22"/>
        </w:rPr>
        <w:t xml:space="preserve"> the floor</w:t>
      </w:r>
      <w:r w:rsidR="00762C51">
        <w:rPr>
          <w:bCs/>
          <w:lang w:val="en-US"/>
          <w:color w:val="000000"/>
          <w:rFonts w:ascii="Times New Roman" w:cs="Times New Roman" w:hAnsi="Times New Roman"/>
          <w:sz w:val="22"/>
          <w:szCs w:val="22"/>
        </w:rPr>
        <w:t xml:space="preserve"> today who had not previously spoken</w:t>
      </w:r>
      <w:r w:rsidR="00990B78">
        <w:rPr>
          <w:bCs/>
          <w:lang w:val="en-US"/>
          <w:color w:val="000000"/>
          <w:rFonts w:ascii="Times New Roman" w:cs="Times New Roman" w:hAnsi="Times New Roman"/>
          <w:sz w:val="22"/>
          <w:szCs w:val="22"/>
        </w:rPr>
        <w:t>, we are heartened by the level of engagement</w:t>
      </w:r>
      <w:r w:rsidR="00DD7ED3">
        <w:rPr>
          <w:bCs/>
          <w:lang w:val="en-US"/>
          <w:color w:val="000000"/>
          <w:rFonts w:ascii="Times New Roman" w:cs="Times New Roman" w:hAnsi="Times New Roman"/>
          <w:sz w:val="22"/>
          <w:szCs w:val="22"/>
        </w:rPr>
        <w:t xml:space="preserve"> and welcome Bolivia to the ranks of the co-sponsors. </w:t>
      </w:r>
      <w:r w:rsidR="00990B78">
        <w:rPr>
          <w:bCs/>
          <w:lang w:val="en-US"/>
          <w:color w:val="000000"/>
          <w:rFonts w:ascii="Times New Roman" w:cs="Times New Roman" w:hAnsi="Times New Roman"/>
          <w:sz w:val="22"/>
          <w:szCs w:val="22"/>
        </w:rPr>
        <w:t xml:space="preserve">Today some new issues arose from interventions, including questions from the delegation of Norway and Vietnam regarding possible modification of the scope of the waiver. The co-sponsors stand ready to discuss the scope of the waiver proposal. We welcome the United Kingdom’s </w:t>
      </w:r>
      <w:r w:rsidR="00762C51">
        <w:rPr>
          <w:bCs/>
          <w:lang w:val="en-US"/>
          <w:color w:val="000000"/>
          <w:rFonts w:ascii="Times New Roman" w:cs="Times New Roman" w:hAnsi="Times New Roman"/>
          <w:sz w:val="22"/>
          <w:szCs w:val="22"/>
        </w:rPr>
        <w:t>stat</w:t>
      </w:r>
      <w:r w:rsidR="00990B78">
        <w:rPr>
          <w:bCs/>
          <w:lang w:val="en-US"/>
          <w:color w:val="000000"/>
          <w:rFonts w:ascii="Times New Roman" w:cs="Times New Roman" w:hAnsi="Times New Roman"/>
          <w:sz w:val="22"/>
          <w:szCs w:val="22"/>
        </w:rPr>
        <w:t xml:space="preserve">ement regarding efforts to explore how products and technologies can be made available to </w:t>
      </w:r>
      <w:r w:rsidR="00762C51">
        <w:rPr>
          <w:bCs/>
          <w:lang w:val="en-US"/>
          <w:color w:val="000000"/>
          <w:rFonts w:ascii="Times New Roman" w:cs="Times New Roman" w:hAnsi="Times New Roman"/>
          <w:sz w:val="22"/>
          <w:szCs w:val="22"/>
        </w:rPr>
        <w:t xml:space="preserve">the WHO </w:t>
      </w:r>
      <w:r w:rsidR="00990B78">
        <w:rPr>
          <w:bCs/>
          <w:lang w:val="en-US"/>
          <w:color w:val="000000"/>
          <w:rFonts w:ascii="Times New Roman" w:cs="Times New Roman" w:hAnsi="Times New Roman"/>
          <w:sz w:val="22"/>
          <w:szCs w:val="22"/>
        </w:rPr>
        <w:t>C-TAP</w:t>
      </w:r>
      <w:r w:rsidR="00762C51">
        <w:rPr>
          <w:bCs/>
          <w:lang w:val="en-US"/>
          <w:color w:val="000000"/>
          <w:rFonts w:ascii="Times New Roman" w:cs="Times New Roman" w:hAnsi="Times New Roman"/>
          <w:sz w:val="22"/>
          <w:szCs w:val="22"/>
        </w:rPr>
        <w:t xml:space="preserve"> initiative</w:t>
      </w:r>
      <w:r w:rsidR="00990B78">
        <w:rPr>
          <w:bCs/>
          <w:lang w:val="en-US"/>
          <w:color w:val="000000"/>
          <w:rFonts w:ascii="Times New Roman" w:cs="Times New Roman" w:hAnsi="Times New Roman"/>
          <w:sz w:val="22"/>
          <w:szCs w:val="22"/>
        </w:rPr>
        <w:t xml:space="preserve">. This is one of the avenues that </w:t>
      </w:r>
      <w:r w:rsidR="00D431F5">
        <w:rPr>
          <w:bCs/>
          <w:lang w:val="en-US"/>
          <w:color w:val="000000"/>
          <w:rFonts w:ascii="Times New Roman" w:cs="Times New Roman" w:hAnsi="Times New Roman"/>
          <w:sz w:val="22"/>
          <w:szCs w:val="22"/>
        </w:rPr>
        <w:t>our waiver supports</w:t>
      </w:r>
      <w:r w:rsidR="00762C51">
        <w:rPr>
          <w:bCs/>
          <w:lang w:val="en-US"/>
          <w:color w:val="000000"/>
          <w:rFonts w:ascii="Times New Roman" w:cs="Times New Roman" w:hAnsi="Times New Roman"/>
          <w:sz w:val="22"/>
          <w:szCs w:val="22"/>
        </w:rPr>
        <w:t xml:space="preserve"> in addition to all efforts to scale up production and acce</w:t>
      </w:r>
      <w:r w:rsidR="002D1BC1">
        <w:rPr>
          <w:bCs/>
          <w:lang w:val="en-US"/>
          <w:color w:val="000000"/>
          <w:rFonts w:ascii="Times New Roman" w:cs="Times New Roman" w:hAnsi="Times New Roman"/>
          <w:sz w:val="22"/>
          <w:szCs w:val="22"/>
        </w:rPr>
        <w:t>s</w:t>
      </w:r>
      <w:r w:rsidR="00762C51">
        <w:rPr>
          <w:bCs/>
          <w:lang w:val="en-US"/>
          <w:color w:val="000000"/>
          <w:rFonts w:ascii="Times New Roman" w:cs="Times New Roman" w:hAnsi="Times New Roman"/>
          <w:sz w:val="22"/>
          <w:szCs w:val="22"/>
        </w:rPr>
        <w:t>s to</w:t>
      </w:r>
      <w:r w:rsidR="002D1BC1">
        <w:rPr>
          <w:bCs/>
          <w:lang w:val="en-US"/>
          <w:color w:val="000000"/>
          <w:rFonts w:ascii="Times New Roman" w:cs="Times New Roman" w:hAnsi="Times New Roman"/>
          <w:sz w:val="22"/>
          <w:szCs w:val="22"/>
        </w:rPr>
        <w:t xml:space="preserve"> COVID-19 products and technology</w:t>
      </w:r>
      <w:r w:rsidR="00D431F5">
        <w:rPr>
          <w:bCs/>
          <w:lang w:val="en-US"/>
          <w:color w:val="000000"/>
          <w:rFonts w:ascii="Times New Roman" w:cs="Times New Roman" w:hAnsi="Times New Roman"/>
          <w:sz w:val="22"/>
          <w:szCs w:val="22"/>
        </w:rPr>
        <w:t xml:space="preserve">. In the interim Madam Chair, there have also been noteworthy developments in policy guidance issued by the European Union through its IP action plan and pharmaceutical strategy which has direct bearing on our discussion in the TRIPS Council, which we will come back to later in our statement. </w:t>
      </w:r>
      <w:r w:rsidR="00990B78">
        <w:rPr>
          <w:bCs/>
          <w:lang w:val="en-US"/>
          <w:color w:val="000000"/>
          <w:rFonts w:ascii="Times New Roman" w:cs="Times New Roman" w:hAnsi="Times New Roman"/>
          <w:sz w:val="22"/>
          <w:szCs w:val="22"/>
        </w:rPr>
        <w:t xml:space="preserve"> </w:t>
      </w:r>
    </w:p>
    <w:p w:rsidR="00751894" w:rsidRDefault="00751894" w14:paraId="18BF247B" w14:textId="77E73209" w:rsidP="00F628D0">
      <w:pPr>
        <w:jc w:val="both"/>
        <w:spacing w:line="276" w:lineRule="auto"/>
        <w:rPr>
          <w:bCs/>
          <w:lang w:val="en-US"/>
          <w:color w:val="000000"/>
          <w:rFonts w:ascii="Times New Roman" w:cs="Times New Roman" w:hAnsi="Times New Roman"/>
          <w:sz w:val="22"/>
          <w:szCs w:val="22"/>
        </w:rPr>
      </w:pPr>
    </w:p>
    <w:p w:rsidR="00994214" w:rsidRDefault="00751894" w14:paraId="3DD98D84" w14:textId="701DF952" w:rsidP="00994214" w:rsidRPr="003E3630">
      <w:pPr>
        <w:jc w:val="both"/>
        <w:spacing w:line="276" w:lineRule="auto"/>
        <w:rPr>
          <w:rFonts w:ascii="Times New Roman" w:cs="Times New Roman" w:hAnsi="Times New Roman"/>
          <w:sz w:val="22"/>
          <w:szCs w:val="22"/>
        </w:rPr>
      </w:pPr>
      <w:r w:rsidRPr="003E3630">
        <w:rPr>
          <w:rFonts w:ascii="Times New Roman" w:cs="Times New Roman" w:hAnsi="Times New Roman"/>
          <w:sz w:val="22"/>
          <w:szCs w:val="22"/>
        </w:rPr>
        <w:t>Those</w:t>
      </w:r>
      <w:r w:rsidR="00990B78">
        <w:rPr>
          <w:lang w:val="en-US"/>
          <w:rFonts w:ascii="Times New Roman" w:cs="Times New Roman" w:hAnsi="Times New Roman"/>
          <w:sz w:val="22"/>
          <w:szCs w:val="22"/>
        </w:rPr>
        <w:t xml:space="preserve"> delegations</w:t>
      </w:r>
      <w:r w:rsidRPr="003E3630">
        <w:rPr>
          <w:rFonts w:ascii="Times New Roman" w:cs="Times New Roman" w:hAnsi="Times New Roman"/>
          <w:sz w:val="22"/>
          <w:szCs w:val="22"/>
        </w:rPr>
        <w:t xml:space="preserve"> opposing the </w:t>
      </w:r>
      <w:r>
        <w:rPr>
          <w:rFonts w:ascii="Times New Roman" w:cs="Times New Roman" w:hAnsi="Times New Roman"/>
          <w:sz w:val="22"/>
          <w:szCs w:val="22"/>
        </w:rPr>
        <w:t>w</w:t>
      </w:r>
      <w:r w:rsidRPr="003E3630">
        <w:rPr>
          <w:rFonts w:ascii="Times New Roman" w:cs="Times New Roman" w:hAnsi="Times New Roman"/>
          <w:sz w:val="22"/>
          <w:szCs w:val="22"/>
        </w:rPr>
        <w:t xml:space="preserve">aiver proposal have repeatedly suggested that voluntary approaches offer the best solution. </w:t>
      </w:r>
      <w:r>
        <w:rPr>
          <w:rFonts w:ascii="Times New Roman" w:cs="Times New Roman" w:hAnsi="Times New Roman"/>
          <w:sz w:val="22"/>
          <w:szCs w:val="22"/>
        </w:rPr>
        <w:t>As would have been emphasized, the TRIPS waiver proposal is supportive of any voluntary licenses issued by companies, however the terms of such licenses are often such that they may restrict access or reserve supply only for wealthy nations.</w:t>
      </w:r>
      <w:r w:rsidR="00A7252D">
        <w:rPr>
          <w:lang w:val="en-US"/>
          <w:rFonts w:ascii="Times New Roman" w:cs="Times New Roman" w:hAnsi="Times New Roman"/>
          <w:sz w:val="22"/>
          <w:szCs w:val="22"/>
        </w:rPr>
        <w:t xml:space="preserve"> </w:t>
      </w:r>
      <w:r w:rsidR="00A7252D" w:rsidRPr="003E3630">
        <w:rPr>
          <w:rFonts w:ascii="Times New Roman" w:cs="Times New Roman" w:hAnsi="Times New Roman"/>
          <w:sz w:val="22"/>
          <w:szCs w:val="22"/>
        </w:rPr>
        <w:t>Similarly</w:t>
      </w:r>
      <w:r w:rsidR="00A7252D">
        <w:rPr>
          <w:rFonts w:ascii="Times New Roman" w:cs="Times New Roman" w:hAnsi="Times New Roman"/>
          <w:sz w:val="22"/>
          <w:szCs w:val="22"/>
        </w:rPr>
        <w:t>,</w:t>
      </w:r>
      <w:r w:rsidR="00A7252D" w:rsidRPr="003E3630">
        <w:rPr>
          <w:rFonts w:ascii="Times New Roman" w:cs="Times New Roman" w:hAnsi="Times New Roman"/>
          <w:sz w:val="22"/>
          <w:szCs w:val="22"/>
        </w:rPr>
        <w:t xml:space="preserve"> for vaccines, bilateral deals are being signed by pharmaceutical companies with specific </w:t>
      </w:r>
      <w:r w:rsidR="00A7252D">
        <w:rPr>
          <w:rFonts w:ascii="Times New Roman" w:cs="Times New Roman" w:hAnsi="Times New Roman"/>
          <w:sz w:val="22"/>
          <w:szCs w:val="22"/>
        </w:rPr>
        <w:t>governments</w:t>
      </w:r>
      <w:r w:rsidR="00A7252D" w:rsidRPr="003E3630">
        <w:rPr>
          <w:rFonts w:ascii="Times New Roman" w:cs="Times New Roman" w:hAnsi="Times New Roman"/>
          <w:sz w:val="22"/>
          <w:szCs w:val="22"/>
        </w:rPr>
        <w:t xml:space="preserve"> but the details of these deals are mostly unknown. </w:t>
      </w:r>
      <w:r w:rsidR="00A7252D">
        <w:rPr>
          <w:rFonts w:ascii="Times New Roman" w:cs="Times New Roman" w:hAnsi="Times New Roman"/>
          <w:sz w:val="22"/>
          <w:szCs w:val="22"/>
        </w:rPr>
        <w:t>Usually</w:t>
      </w:r>
      <w:r w:rsidR="00A7252D" w:rsidRPr="003E3630">
        <w:rPr>
          <w:rFonts w:ascii="Times New Roman" w:cs="Times New Roman" w:hAnsi="Times New Roman"/>
          <w:sz w:val="22"/>
          <w:szCs w:val="22"/>
        </w:rPr>
        <w:t xml:space="preserve"> these agreements are for manufacturing of limited amounts and solely supplying a country’s territory</w:t>
      </w:r>
      <w:r w:rsidR="00A7252D">
        <w:rPr>
          <w:rFonts w:ascii="Times New Roman" w:cs="Times New Roman" w:hAnsi="Times New Roman"/>
          <w:sz w:val="22"/>
          <w:szCs w:val="22"/>
        </w:rPr>
        <w:t xml:space="preserve"> or a limited subset of countries</w:t>
      </w:r>
      <w:r w:rsidR="00A7252D" w:rsidRPr="00EA5B74">
        <w:rPr>
          <w:rFonts w:ascii="Times New Roman" w:cs="Times New Roman" w:hAnsi="Times New Roman"/>
          <w:sz w:val="22"/>
          <w:szCs w:val="22"/>
        </w:rPr>
        <w:t>.</w:t>
      </w:r>
      <w:r w:rsidR="00647443">
        <w:rPr>
          <w:lang w:val="en-US"/>
          <w:rFonts w:ascii="Times New Roman" w:cs="Times New Roman" w:hAnsi="Times New Roman"/>
          <w:sz w:val="22"/>
          <w:szCs w:val="22"/>
        </w:rPr>
        <w:t xml:space="preserve"> </w:t>
      </w:r>
      <w:r w:rsidR="00994214" w:rsidRPr="003E3630">
        <w:rPr>
          <w:rFonts w:ascii="Times New Roman" w:cs="Times New Roman" w:hAnsi="Times New Roman"/>
          <w:sz w:val="22"/>
          <w:szCs w:val="22"/>
        </w:rPr>
        <w:t xml:space="preserve">Ad hoc, non-transparent and unaccountable bilateral deals that artificially limit supply and competition cannot </w:t>
      </w:r>
      <w:r w:rsidR="00994214">
        <w:rPr>
          <w:rFonts w:ascii="Times New Roman" w:cs="Times New Roman" w:hAnsi="Times New Roman"/>
          <w:sz w:val="22"/>
          <w:szCs w:val="22"/>
        </w:rPr>
        <w:t>reliably</w:t>
      </w:r>
      <w:r w:rsidR="00994214" w:rsidRPr="003E3630">
        <w:rPr>
          <w:rFonts w:ascii="Times New Roman" w:cs="Times New Roman" w:hAnsi="Times New Roman"/>
          <w:sz w:val="22"/>
          <w:szCs w:val="22"/>
        </w:rPr>
        <w:t xml:space="preserve"> deliver access during a global pandemic. These bilateral deals do not demonstrate global collaboration but rather reinforces “</w:t>
      </w:r>
      <w:r w:rsidR="00994214">
        <w:rPr>
          <w:lang w:val="en-US"/>
          <w:rFonts w:ascii="Times New Roman" w:cs="Times New Roman" w:hAnsi="Times New Roman"/>
          <w:sz w:val="22"/>
          <w:szCs w:val="22"/>
        </w:rPr>
        <w:t>vaccine apartheid</w:t>
      </w:r>
      <w:r w:rsidR="00994214" w:rsidRPr="003E3630">
        <w:rPr>
          <w:rFonts w:ascii="Times New Roman" w:cs="Times New Roman" w:hAnsi="Times New Roman"/>
          <w:sz w:val="22"/>
          <w:szCs w:val="22"/>
        </w:rPr>
        <w:t>”</w:t>
      </w:r>
      <w:r w:rsidR="00994214">
        <w:rPr>
          <w:lang w:val="en-US"/>
          <w:rFonts w:ascii="Times New Roman" w:cs="Times New Roman" w:hAnsi="Times New Roman"/>
          <w:sz w:val="22"/>
          <w:szCs w:val="22"/>
        </w:rPr>
        <w:t xml:space="preserve"> and </w:t>
      </w:r>
      <w:r w:rsidR="00994214" w:rsidRPr="003E3630">
        <w:rPr>
          <w:rFonts w:ascii="Times New Roman" w:cs="Times New Roman" w:hAnsi="Times New Roman"/>
          <w:sz w:val="22"/>
          <w:szCs w:val="22"/>
        </w:rPr>
        <w:t>enlarg</w:t>
      </w:r>
      <w:r w:rsidR="00994214">
        <w:rPr>
          <w:lang w:val="en-US"/>
          <w:rFonts w:ascii="Times New Roman" w:cs="Times New Roman" w:hAnsi="Times New Roman"/>
          <w:sz w:val="22"/>
          <w:szCs w:val="22"/>
        </w:rPr>
        <w:t>es</w:t>
      </w:r>
      <w:r w:rsidR="00994214" w:rsidRPr="003E3630">
        <w:rPr>
          <w:rFonts w:ascii="Times New Roman" w:cs="Times New Roman" w:hAnsi="Times New Roman"/>
          <w:sz w:val="22"/>
          <w:szCs w:val="22"/>
        </w:rPr>
        <w:t xml:space="preserve"> chasm</w:t>
      </w:r>
      <w:r w:rsidR="00994214">
        <w:rPr>
          <w:rFonts w:ascii="Times New Roman" w:cs="Times New Roman" w:hAnsi="Times New Roman"/>
          <w:sz w:val="22"/>
          <w:szCs w:val="22"/>
        </w:rPr>
        <w:t>s</w:t>
      </w:r>
      <w:r w:rsidR="00994214" w:rsidRPr="003E3630">
        <w:rPr>
          <w:rFonts w:ascii="Times New Roman" w:cs="Times New Roman" w:hAnsi="Times New Roman"/>
          <w:sz w:val="22"/>
          <w:szCs w:val="22"/>
        </w:rPr>
        <w:t xml:space="preserve"> of inequity. </w:t>
      </w:r>
      <w:r w:rsidR="00994214" w:rsidRPr="00994214">
        <w:rPr>
          <w:lang w:val="en-GB"/>
          <w:rFonts w:ascii="Times New Roman" w:cs="Times New Roman" w:hAnsi="Times New Roman"/>
          <w:sz w:val="22"/>
          <w:szCs w:val="22"/>
        </w:rPr>
        <w:t>Disparity in access is certain</w:t>
      </w:r>
      <w:r w:rsidR="00BC7911">
        <w:rPr>
          <w:lang w:val="en-GB"/>
          <w:rFonts w:ascii="Times New Roman" w:cs="Times New Roman" w:hAnsi="Times New Roman"/>
          <w:sz w:val="22"/>
          <w:szCs w:val="22"/>
        </w:rPr>
        <w:t xml:space="preserve"> to continue</w:t>
      </w:r>
      <w:r w:rsidR="00994214" w:rsidRPr="00994214">
        <w:rPr>
          <w:lang w:val="en-GB"/>
          <w:rFonts w:ascii="Times New Roman" w:cs="Times New Roman" w:hAnsi="Times New Roman"/>
          <w:sz w:val="22"/>
          <w:szCs w:val="22"/>
        </w:rPr>
        <w:t xml:space="preserve"> unless concrete steps are taken to address intellectual property barriers.</w:t>
      </w:r>
      <w:r w:rsidR="002D1BC1">
        <w:rPr>
          <w:lang w:val="en-GB"/>
          <w:rFonts w:ascii="Times New Roman" w:cs="Times New Roman" w:hAnsi="Times New Roman"/>
          <w:sz w:val="22"/>
          <w:szCs w:val="22"/>
        </w:rPr>
        <w:t xml:space="preserve"> If what the EU, the US and Japan is suggesting, namely that the IP system is responsible for delivery of vaccines in record time, it would fly in the face of the heroic efforts of ordinary people, researchers, scientists and government support and funding to enable this monumental feat. Not companies, but ordinary people have generously donated their skills and efforts to enable global collaboration </w:t>
      </w:r>
      <w:r w:rsidR="00273019">
        <w:rPr>
          <w:lang w:val="en-GB"/>
          <w:rFonts w:ascii="Times New Roman" w:cs="Times New Roman" w:hAnsi="Times New Roman"/>
          <w:sz w:val="22"/>
          <w:szCs w:val="22"/>
        </w:rPr>
        <w:t xml:space="preserve">by </w:t>
      </w:r>
      <w:r w:rsidR="002D1BC1">
        <w:rPr>
          <w:lang w:val="en-GB"/>
          <w:rFonts w:ascii="Times New Roman" w:cs="Times New Roman" w:hAnsi="Times New Roman"/>
          <w:sz w:val="22"/>
          <w:szCs w:val="22"/>
        </w:rPr>
        <w:t xml:space="preserve">participating in </w:t>
      </w:r>
      <w:r w:rsidR="00273019">
        <w:rPr>
          <w:lang w:val="en-GB"/>
          <w:rFonts w:ascii="Times New Roman" w:cs="Times New Roman" w:hAnsi="Times New Roman"/>
          <w:sz w:val="22"/>
          <w:szCs w:val="22"/>
        </w:rPr>
        <w:t xml:space="preserve">vaccine </w:t>
      </w:r>
      <w:r w:rsidR="002D1BC1">
        <w:rPr>
          <w:lang w:val="en-GB"/>
          <w:rFonts w:ascii="Times New Roman" w:cs="Times New Roman" w:hAnsi="Times New Roman"/>
          <w:sz w:val="22"/>
          <w:szCs w:val="22"/>
        </w:rPr>
        <w:t xml:space="preserve">trails, may in developing countries, putting their lives at risk for the greater good of mankind. Yet the irony does not escape us, these very people are denied </w:t>
      </w:r>
      <w:r w:rsidR="00273019">
        <w:rPr>
          <w:lang w:val="en-GB"/>
          <w:rFonts w:ascii="Times New Roman" w:cs="Times New Roman" w:hAnsi="Times New Roman"/>
          <w:sz w:val="22"/>
          <w:szCs w:val="22"/>
        </w:rPr>
        <w:t>priority access despite the enormous sacrifices they made.</w:t>
      </w:r>
    </w:p>
    <w:p w:rsidR="00994214" w:rsidRDefault="00994214" w14:paraId="125E11B2" w14:textId="7AB00084" w:rsidP="00F628D0">
      <w:pPr>
        <w:jc w:val="both"/>
        <w:spacing w:line="276" w:lineRule="auto"/>
        <w:rPr>
          <w:rFonts w:ascii="Times New Roman" w:cs="Times New Roman" w:hAnsi="Times New Roman"/>
          <w:sz w:val="22"/>
          <w:szCs w:val="22"/>
        </w:rPr>
      </w:pPr>
    </w:p>
    <w:p w:rsidR="00BC7911" w:rsidRDefault="00994214" w14:paraId="6F9E620F" w14:textId="77777777" w:rsidP="00647443">
      <w:pPr>
        <w:jc w:val="both"/>
        <w:rPr>
          <w:lang w:val="en-GB"/>
          <w:rFonts w:ascii="Times New Roman" w:cs="Times New Roman" w:hAnsi="Times New Roman"/>
          <w:sz w:val="22"/>
          <w:szCs w:val="22"/>
        </w:rPr>
      </w:pPr>
      <w:r w:rsidRPr="00994214">
        <w:rPr>
          <w:lang w:val="en-GB"/>
          <w:rFonts w:ascii="Times New Roman" w:cs="Times New Roman" w:hAnsi="Times New Roman"/>
          <w:sz w:val="22"/>
          <w:szCs w:val="22"/>
        </w:rPr>
        <w:t xml:space="preserve">Several questions were posed as to why the scope of the waiver extends to patents, trade secrets, copyright and industrial designs and what is the evidence that waiver of these aspects are important to contain, prevent and treat Covid-19. </w:t>
      </w:r>
      <w:r w:rsidR="00BC7911">
        <w:rPr>
          <w:lang w:val="en-GB"/>
          <w:rFonts w:ascii="Times New Roman" w:cs="Times New Roman" w:hAnsi="Times New Roman"/>
          <w:sz w:val="22"/>
          <w:szCs w:val="22"/>
        </w:rPr>
        <w:t xml:space="preserve">The co-sponsors presented elaborate answers during the last meeting. </w:t>
      </w:r>
    </w:p>
    <w:p w:rsidR="00BC7911" w:rsidRDefault="00BC7911" w14:paraId="15F8C194" w14:textId="7883B407" w:rsidP="00647443">
      <w:pPr>
        <w:jc w:val="both"/>
        <w:rPr>
          <w:lang w:val="en-GB"/>
          <w:rFonts w:ascii="Times New Roman" w:cs="Times New Roman" w:hAnsi="Times New Roman"/>
          <w:sz w:val="22"/>
          <w:szCs w:val="22"/>
        </w:rPr>
      </w:pPr>
      <w:r>
        <w:rPr>
          <w:lang w:val="en-GB"/>
          <w:rFonts w:ascii="Times New Roman" w:cs="Times New Roman" w:hAnsi="Times New Roman"/>
          <w:sz w:val="22"/>
          <w:szCs w:val="22"/>
        </w:rPr>
        <w:t xml:space="preserve"> </w:t>
      </w:r>
    </w:p>
    <w:p w:rsidR="00647443" w:rsidRDefault="00B33758" w14:paraId="7FEDE511" w14:textId="15D07875" w:rsidP="00647443">
      <w:pPr>
        <w:jc w:val="both"/>
        <w:rPr>
          <w:lang w:val="en-US"/>
          <w:rFonts w:ascii="Times New Roman" w:cs="Times New Roman" w:hAnsi="Times New Roman"/>
          <w:sz w:val="22"/>
          <w:szCs w:val="22"/>
        </w:rPr>
      </w:pPr>
      <w:r>
        <w:rPr>
          <w:lang w:val="en-US"/>
          <w:rFonts w:ascii="Times New Roman" w:cs="Times New Roman" w:hAnsi="Times New Roman"/>
          <w:sz w:val="22"/>
          <w:szCs w:val="22"/>
        </w:rPr>
        <w:t>Other</w:t>
      </w:r>
      <w:r w:rsidR="00994214" w:rsidRPr="00744344">
        <w:rPr>
          <w:rFonts w:ascii="Times New Roman" w:cs="Times New Roman" w:hAnsi="Times New Roman"/>
          <w:sz w:val="22"/>
          <w:szCs w:val="22"/>
        </w:rPr>
        <w:t xml:space="preserve"> questions were posed as to how the waiver would resolve issues related to Covid-19 prevention, containment and treatment and what is the evidence?</w:t>
      </w:r>
      <w:r w:rsidR="00647443">
        <w:rPr>
          <w:lang w:val="en-US"/>
          <w:rFonts w:ascii="Times New Roman" w:cs="Times New Roman" w:hAnsi="Times New Roman"/>
          <w:sz w:val="22"/>
          <w:szCs w:val="22"/>
        </w:rPr>
        <w:t xml:space="preserve"> </w:t>
      </w:r>
      <w:r w:rsidR="00BC7911">
        <w:rPr>
          <w:lang w:val="en-US"/>
          <w:rFonts w:ascii="Times New Roman" w:cs="Times New Roman" w:hAnsi="Times New Roman"/>
          <w:sz w:val="22"/>
          <w:szCs w:val="22"/>
        </w:rPr>
        <w:t>Similarly</w:t>
      </w:r>
      <w:r w:rsidR="00F94637">
        <w:rPr>
          <w:lang w:val="en-US"/>
          <w:rFonts w:ascii="Times New Roman" w:cs="Times New Roman" w:hAnsi="Times New Roman"/>
          <w:sz w:val="22"/>
          <w:szCs w:val="22"/>
        </w:rPr>
        <w:t>,</w:t>
      </w:r>
      <w:r w:rsidR="00BC7911">
        <w:rPr>
          <w:lang w:val="en-US"/>
          <w:rFonts w:ascii="Times New Roman" w:cs="Times New Roman" w:hAnsi="Times New Roman"/>
          <w:sz w:val="22"/>
          <w:szCs w:val="22"/>
        </w:rPr>
        <w:t xml:space="preserve"> these were </w:t>
      </w:r>
      <w:r w:rsidR="00F94637">
        <w:rPr>
          <w:lang w:val="en-US"/>
          <w:rFonts w:ascii="Times New Roman" w:cs="Times New Roman" w:hAnsi="Times New Roman"/>
          <w:sz w:val="22"/>
          <w:szCs w:val="22"/>
        </w:rPr>
        <w:t>addressed</w:t>
      </w:r>
      <w:r w:rsidR="00647443">
        <w:rPr>
          <w:lang w:val="en-US"/>
          <w:rFonts w:ascii="Times New Roman" w:cs="Times New Roman" w:hAnsi="Times New Roman"/>
          <w:sz w:val="22"/>
          <w:szCs w:val="22"/>
        </w:rPr>
        <w:t xml:space="preserve"> </w:t>
      </w:r>
      <w:r w:rsidR="00AE74EF">
        <w:rPr>
          <w:lang w:val="en-US"/>
          <w:rFonts w:ascii="Times New Roman" w:cs="Times New Roman" w:hAnsi="Times New Roman"/>
          <w:sz w:val="22"/>
          <w:szCs w:val="22"/>
        </w:rPr>
        <w:t xml:space="preserve">during the last meeting. </w:t>
      </w:r>
      <w:r w:rsidR="00F94637">
        <w:rPr>
          <w:lang w:val="en-US"/>
          <w:rFonts w:ascii="Times New Roman" w:cs="Times New Roman" w:hAnsi="Times New Roman"/>
          <w:sz w:val="22"/>
          <w:szCs w:val="22"/>
        </w:rPr>
        <w:t xml:space="preserve">However, let me briefly recap our intervention on this point. </w:t>
      </w:r>
    </w:p>
    <w:p w:rsidR="00647443" w:rsidRDefault="00647443" w14:paraId="2A52475E" w14:textId="77777777" w:rsidP="00647443">
      <w:pPr>
        <w:jc w:val="both"/>
        <w:rPr>
          <w:lang w:val="en-US"/>
          <w:rFonts w:ascii="Times New Roman" w:cs="Times New Roman" w:hAnsi="Times New Roman"/>
          <w:sz w:val="22"/>
          <w:szCs w:val="22"/>
        </w:rPr>
      </w:pPr>
    </w:p>
    <w:p w:rsidR="00647443" w:rsidRDefault="00647443" w14:paraId="481DD111" w14:textId="5F14584C" w:rsidP="00826100">
      <w:pPr>
        <w:jc w:val="both"/>
        <w:spacing w:line="276" w:lineRule="auto"/>
        <w:rPr>
          <w:rFonts w:ascii="Times New Roman" w:cs="Times New Roman" w:hAnsi="Times New Roman"/>
          <w:sz w:val="22"/>
          <w:szCs w:val="22"/>
        </w:rPr>
      </w:pPr>
      <w:r w:rsidRPr="001A0E0E">
        <w:rPr>
          <w:rFonts w:ascii="Times New Roman" w:cs="Times New Roman" w:hAnsi="Times New Roman"/>
          <w:sz w:val="22"/>
          <w:szCs w:val="22"/>
        </w:rPr>
        <w:t xml:space="preserve">The co-sponsors have been asked which measures would fall within the scope of the waiver and whether measures that are </w:t>
      </w:r>
      <w:r w:rsidRPr="00F94637">
        <w:rPr>
          <w:u w:val="single"/>
          <w:rFonts w:ascii="Times New Roman" w:cs="Times New Roman" w:hAnsi="Times New Roman"/>
          <w:sz w:val="22"/>
          <w:szCs w:val="22"/>
        </w:rPr>
        <w:t>indirectly related would also be included within the scope of the waiver and who would make this determination</w:t>
      </w:r>
      <w:r w:rsidRPr="001A0E0E">
        <w:rPr>
          <w:rFonts w:ascii="Times New Roman" w:cs="Times New Roman" w:hAnsi="Times New Roman"/>
          <w:sz w:val="22"/>
          <w:szCs w:val="22"/>
        </w:rPr>
        <w:t xml:space="preserve">. </w:t>
      </w:r>
      <w:r w:rsidRPr="00826100">
        <w:rPr>
          <w:rFonts w:ascii="Times New Roman" w:cs="Times New Roman" w:hAnsi="Times New Roman"/>
          <w:sz w:val="22"/>
          <w:szCs w:val="22"/>
        </w:rPr>
        <w:t>We clarified that t</w:t>
      </w:r>
      <w:r w:rsidRPr="001A0E0E">
        <w:rPr>
          <w:rFonts w:ascii="Times New Roman" w:cs="Times New Roman" w:hAnsi="Times New Roman"/>
          <w:sz w:val="22"/>
          <w:szCs w:val="22"/>
        </w:rPr>
        <w:t>he issue is not whether a measure is directly related or indirectly related. It is a matter of what is needed to prevent, contain and treat Covid-19. Any measure that is not in relation to Covid-19 would not be covered by the scope of the Waiver. For instance, a therapeutic for cancer treatment would not fall within the scope of the waiver.</w:t>
      </w:r>
      <w:r w:rsidRPr="00647443">
        <w:rPr>
          <w:rFonts w:ascii="Times New Roman" w:cs="Times New Roman" w:hAnsi="Times New Roman"/>
          <w:sz w:val="22"/>
          <w:szCs w:val="22"/>
        </w:rPr>
        <w:t xml:space="preserve">The waiver proposal is very specific to Covid-19, its prevention, containment and treatment; and therefore, is proportionate. It does not apply to other diseases, although we are aware of severe access challenges in other disease areas as well. It does not apply to other sectors. We have also been particular in excluding protection of Performers, Producers of Phonograms (Sound Recordings) and Broadcasting Organizations under Article 14 of the TRIPS Agreement, although it falls within the ambit of copyright, as it would not be relevant to the prevention, containment and treatment of COVID19. The waiver proposal does not cover all aspects of the TRIPS Agreement, for example it does not include GIs, trademarks, layout of integrated circuits etc. </w:t>
      </w:r>
    </w:p>
    <w:p w:rsidR="003E467A" w:rsidRDefault="003E467A" w14:paraId="2A8C56B8" w14:textId="64E79507" w:rsidP="00826100">
      <w:pPr>
        <w:jc w:val="both"/>
        <w:spacing w:line="276" w:lineRule="auto"/>
        <w:rPr>
          <w:rFonts w:ascii="Times New Roman" w:cs="Times New Roman" w:hAnsi="Times New Roman"/>
          <w:sz w:val="22"/>
          <w:szCs w:val="22"/>
        </w:rPr>
      </w:pPr>
    </w:p>
    <w:p w:rsidR="003E467A" w:rsidRDefault="003E467A" w14:paraId="5ED038DF" w14:textId="5816038F" w:rsidP="003E467A" w:rsidRPr="003E467A">
      <w:pPr>
        <w:jc w:val="both"/>
        <w:spacing w:line="276" w:lineRule="auto"/>
        <w:rPr>
          <w:lang w:val="en-GB"/>
          <w:rFonts w:ascii="Times New Roman" w:cs="Times New Roman" w:hAnsi="Times New Roman"/>
          <w:sz w:val="22"/>
          <w:szCs w:val="22"/>
        </w:rPr>
      </w:pPr>
      <w:r>
        <w:rPr>
          <w:lang w:val="en-GB"/>
          <w:rFonts w:ascii="Times New Roman" w:cs="Times New Roman" w:hAnsi="Times New Roman"/>
          <w:sz w:val="22"/>
          <w:szCs w:val="22"/>
        </w:rPr>
        <w:t xml:space="preserve">As a further clarification to and issue raised this morning about safety, quality counterfeit </w:t>
      </w:r>
      <w:proofErr w:type="gramStart"/>
      <w:r>
        <w:rPr>
          <w:lang w:val="en-GB"/>
          <w:rFonts w:ascii="Times New Roman" w:cs="Times New Roman" w:hAnsi="Times New Roman"/>
          <w:sz w:val="22"/>
          <w:szCs w:val="22"/>
        </w:rPr>
        <w:t>medicines,  t</w:t>
      </w:r>
      <w:r w:rsidRPr="003E467A">
        <w:rPr>
          <w:lang w:val="en-GB"/>
          <w:rFonts w:ascii="Times New Roman" w:cs="Times New Roman" w:hAnsi="Times New Roman"/>
          <w:sz w:val="22"/>
          <w:szCs w:val="22"/>
        </w:rPr>
        <w:t>he</w:t>
      </w:r>
      <w:proofErr w:type="gramEnd"/>
      <w:r w:rsidRPr="003E467A">
        <w:rPr>
          <w:lang w:val="en-GB"/>
          <w:rFonts w:ascii="Times New Roman" w:cs="Times New Roman" w:hAnsi="Times New Roman"/>
          <w:sz w:val="22"/>
          <w:szCs w:val="22"/>
        </w:rPr>
        <w:t xml:space="preserve"> Waiver request does not extend to trademark and “counterfeit trademark good” as defined in Article 51, footnote 14 of the TRIPS Agreement. And hence TRIPS provisions in relation to these continue to be applicable. </w:t>
      </w:r>
    </w:p>
    <w:p w:rsidR="003E467A" w:rsidRDefault="003E467A" w14:paraId="7522BE6A" w14:textId="77777777" w:rsidP="003E467A" w:rsidRPr="003E467A">
      <w:pPr>
        <w:jc w:val="both"/>
        <w:spacing w:line="276" w:lineRule="auto"/>
        <w:rPr>
          <w:lang w:val="en-GB"/>
          <w:rFonts w:ascii="Times New Roman" w:cs="Times New Roman" w:hAnsi="Times New Roman"/>
          <w:sz w:val="22"/>
          <w:szCs w:val="22"/>
        </w:rPr>
      </w:pPr>
    </w:p>
    <w:p w:rsidR="003E467A" w:rsidRDefault="003E467A" w14:paraId="50EFEEEE" w14:textId="715467A7" w:rsidP="003E467A" w:rsidRPr="003E467A">
      <w:pPr>
        <w:jc w:val="both"/>
        <w:spacing w:line="276" w:lineRule="auto"/>
        <w:rPr>
          <w:lang w:val="en-GB"/>
          <w:rFonts w:ascii="Times New Roman" w:cs="Times New Roman" w:hAnsi="Times New Roman"/>
          <w:sz w:val="22"/>
          <w:szCs w:val="22"/>
        </w:rPr>
      </w:pPr>
      <w:r w:rsidRPr="003E467A">
        <w:rPr>
          <w:lang w:val="en-GB"/>
          <w:rFonts w:ascii="Times New Roman" w:cs="Times New Roman" w:hAnsi="Times New Roman"/>
          <w:sz w:val="22"/>
          <w:szCs w:val="22"/>
        </w:rPr>
        <w:t xml:space="preserve">The grant of IP or being </w:t>
      </w:r>
      <w:proofErr w:type="gramStart"/>
      <w:r w:rsidRPr="003E467A">
        <w:rPr>
          <w:lang w:val="en-GB"/>
          <w:rFonts w:ascii="Times New Roman" w:cs="Times New Roman" w:hAnsi="Times New Roman"/>
          <w:sz w:val="22"/>
          <w:szCs w:val="22"/>
        </w:rPr>
        <w:t>a</w:t>
      </w:r>
      <w:proofErr w:type="gramEnd"/>
      <w:r w:rsidRPr="003E467A">
        <w:rPr>
          <w:lang w:val="en-GB"/>
          <w:rFonts w:ascii="Times New Roman" w:cs="Times New Roman" w:hAnsi="Times New Roman"/>
          <w:sz w:val="22"/>
          <w:szCs w:val="22"/>
        </w:rPr>
        <w:t xml:space="preserve"> IP holder does not provide any assurance that the protected subject matter is of </w:t>
      </w:r>
      <w:r>
        <w:rPr>
          <w:lang w:val="en-GB"/>
          <w:rFonts w:ascii="Times New Roman" w:cs="Times New Roman" w:hAnsi="Times New Roman"/>
          <w:sz w:val="22"/>
          <w:szCs w:val="22"/>
        </w:rPr>
        <w:t xml:space="preserve">a particular </w:t>
      </w:r>
      <w:r w:rsidRPr="003E467A">
        <w:rPr>
          <w:lang w:val="en-GB"/>
          <w:rFonts w:ascii="Times New Roman" w:cs="Times New Roman" w:hAnsi="Times New Roman"/>
          <w:sz w:val="22"/>
          <w:szCs w:val="22"/>
        </w:rPr>
        <w:t>quality</w:t>
      </w:r>
      <w:r>
        <w:rPr>
          <w:lang w:val="en-GB"/>
          <w:rFonts w:ascii="Times New Roman" w:cs="Times New Roman" w:hAnsi="Times New Roman"/>
          <w:sz w:val="22"/>
          <w:szCs w:val="22"/>
        </w:rPr>
        <w:t>, efficacy of safety standard</w:t>
      </w:r>
      <w:r w:rsidRPr="003E467A">
        <w:rPr>
          <w:lang w:val="en-GB"/>
          <w:rFonts w:ascii="Times New Roman" w:cs="Times New Roman" w:hAnsi="Times New Roman"/>
          <w:sz w:val="22"/>
          <w:szCs w:val="22"/>
        </w:rPr>
        <w:t>. Even originator products of multinational pharmaceutical companies have been recalled in the past for failing quality standards</w:t>
      </w:r>
      <w:r>
        <w:rPr>
          <w:lang w:val="en-GB"/>
          <w:rFonts w:ascii="Times New Roman" w:cs="Times New Roman" w:hAnsi="Times New Roman"/>
          <w:sz w:val="22"/>
          <w:szCs w:val="22"/>
        </w:rPr>
        <w:t>, therefore regulatory oversight is required</w:t>
      </w:r>
      <w:r w:rsidRPr="003E467A">
        <w:rPr>
          <w:lang w:val="en-GB"/>
          <w:rFonts w:ascii="Times New Roman" w:cs="Times New Roman" w:hAnsi="Times New Roman"/>
          <w:sz w:val="22"/>
          <w:szCs w:val="22"/>
        </w:rPr>
        <w:t xml:space="preserve">. This shows that the grant of IP has nothing to do with quality. </w:t>
      </w:r>
    </w:p>
    <w:p w:rsidR="003E467A" w:rsidRDefault="003E467A" w14:paraId="1FADF535" w14:textId="77777777" w:rsidP="003E467A" w:rsidRPr="003E467A">
      <w:pPr>
        <w:jc w:val="both"/>
        <w:spacing w:line="276" w:lineRule="auto"/>
        <w:rPr>
          <w:lang w:val="en-GB"/>
          <w:rFonts w:ascii="Times New Roman" w:cs="Times New Roman" w:hAnsi="Times New Roman"/>
          <w:sz w:val="22"/>
          <w:szCs w:val="22"/>
        </w:rPr>
      </w:pPr>
    </w:p>
    <w:p w:rsidR="003E467A" w:rsidRDefault="003E467A" w14:paraId="6FA4B670" w14:textId="3F4C969E" w:rsidP="003E467A" w:rsidRPr="003E467A">
      <w:pPr>
        <w:jc w:val="both"/>
        <w:spacing w:line="276" w:lineRule="auto"/>
        <w:rPr>
          <w:lang w:val="en-GB"/>
          <w:rFonts w:ascii="Times New Roman" w:cs="Times New Roman" w:hAnsi="Times New Roman"/>
          <w:sz w:val="22"/>
          <w:szCs w:val="22"/>
        </w:rPr>
      </w:pPr>
      <w:r w:rsidRPr="003E467A">
        <w:rPr>
          <w:lang w:val="en-GB"/>
          <w:rFonts w:ascii="Times New Roman" w:cs="Times New Roman" w:hAnsi="Times New Roman"/>
          <w:sz w:val="22"/>
          <w:szCs w:val="22"/>
        </w:rPr>
        <w:t xml:space="preserve">All medical products marketed in a country has to obtain marketing authorisation from the national medicine regulatory agency which provides authorisation after proper quality checks. The issue of quality of a diagnostic, therapeutic or vaccine is determined by the national medicine regulatory authorities and not the IP system. At the international level, WHO has a member state mechanism that also looks at substandard and falsified medical products. </w:t>
      </w:r>
    </w:p>
    <w:p w:rsidR="003E467A" w:rsidRDefault="003E467A" w14:paraId="1CF7CBC5" w14:textId="77777777" w:rsidP="003E467A" w:rsidRPr="003E467A">
      <w:pPr>
        <w:jc w:val="both"/>
        <w:spacing w:line="276" w:lineRule="auto"/>
        <w:rPr>
          <w:lang w:val="en-GB"/>
          <w:rFonts w:ascii="Times New Roman" w:cs="Times New Roman" w:hAnsi="Times New Roman"/>
          <w:sz w:val="22"/>
          <w:szCs w:val="22"/>
        </w:rPr>
      </w:pPr>
    </w:p>
    <w:p w:rsidR="003E467A" w:rsidRDefault="003E467A" w14:paraId="6950F963" w14:textId="77777777" w:rsidP="003E467A" w:rsidRPr="003E467A">
      <w:pPr>
        <w:jc w:val="both"/>
        <w:spacing w:line="276" w:lineRule="auto"/>
        <w:rPr>
          <w:lang w:val="en-GB"/>
          <w:rFonts w:ascii="Times New Roman" w:cs="Times New Roman" w:hAnsi="Times New Roman"/>
          <w:sz w:val="22"/>
          <w:szCs w:val="22"/>
        </w:rPr>
      </w:pPr>
      <w:r w:rsidRPr="003E467A">
        <w:rPr>
          <w:lang w:val="en-GB"/>
          <w:rFonts w:ascii="Times New Roman" w:cs="Times New Roman" w:hAnsi="Times New Roman"/>
          <w:sz w:val="22"/>
          <w:szCs w:val="22"/>
        </w:rPr>
        <w:t>We urge WTO members not to confuse and conflate issues of quality of a product with issues of intellectual property of medical products. These are separate issues. In the past such conflation has led to seizure of quality generic medicines by the custom authorities such as at European ports, hindering inter alia international aid programmes and public health.</w:t>
      </w:r>
    </w:p>
    <w:p w:rsidR="003E467A" w:rsidRDefault="003E467A" w14:paraId="234D12A0" w14:textId="77777777" w:rsidP="00826100" w:rsidRPr="00647443">
      <w:pPr>
        <w:jc w:val="both"/>
        <w:spacing w:line="276" w:lineRule="auto"/>
        <w:rPr>
          <w:rFonts w:ascii="Times New Roman" w:cs="Times New Roman" w:hAnsi="Times New Roman"/>
          <w:sz w:val="22"/>
          <w:szCs w:val="22"/>
        </w:rPr>
      </w:pPr>
    </w:p>
    <w:p w:rsidR="00994214" w:rsidRDefault="00994214" w14:paraId="56B42A85" w14:textId="1DABCBAF" w:rsidP="00994214" w:rsidRPr="00647443">
      <w:pPr>
        <w:jc w:val="both"/>
        <w:spacing w:line="276" w:lineRule="auto"/>
        <w:rPr>
          <w:lang w:val="en-GB"/>
          <w:rFonts w:ascii="Times New Roman" w:cs="Times New Roman" w:hAnsi="Times New Roman"/>
          <w:sz w:val="22"/>
          <w:szCs w:val="22"/>
        </w:rPr>
      </w:pPr>
    </w:p>
    <w:p w:rsidR="00994214" w:rsidRDefault="00AE74EF" w14:paraId="4D10BB44" w14:textId="110E448E" w:rsidP="00F628D0">
      <w:pPr>
        <w:jc w:val="both"/>
        <w:spacing w:line="276" w:lineRule="auto"/>
        <w:rPr>
          <w:lang w:val="en-US"/>
          <w:rFonts w:ascii="Times New Roman" w:cs="Times New Roman" w:hAnsi="Times New Roman"/>
          <w:sz w:val="22"/>
          <w:szCs w:val="22"/>
        </w:rPr>
      </w:pPr>
      <w:r w:rsidRPr="001A0E0E">
        <w:rPr>
          <w:rFonts w:ascii="Times New Roman" w:cs="Times New Roman" w:hAnsi="Times New Roman"/>
          <w:sz w:val="22"/>
          <w:szCs w:val="22"/>
        </w:rPr>
        <w:t>Some countries have queried why TRIPS flexibilities and Covax are insufficient to address the challenge of access posed by COVID. We have addressed this matter extensively at the last TRIPS Council. We reiterate that the targets set by Act-A including the Covax is to provide 2 billion vaccine doses (for 1 billion people) to the world by the end of 2021, 245 million courses of treatment and 500 million diagnostic tests to LMICs (excluding many developing countries) in 2021 are insufficient to meet global needs of the 7.7 billion people of this world.</w:t>
      </w:r>
      <w:r>
        <w:rPr>
          <w:lang w:val="en-US"/>
          <w:rFonts w:ascii="Times New Roman" w:cs="Times New Roman" w:hAnsi="Times New Roman"/>
          <w:sz w:val="22"/>
          <w:szCs w:val="22"/>
        </w:rPr>
        <w:t xml:space="preserve"> </w:t>
      </w:r>
      <w:r w:rsidR="00F94637">
        <w:rPr>
          <w:lang w:val="en-US"/>
          <w:rFonts w:ascii="Times New Roman" w:cs="Times New Roman" w:hAnsi="Times New Roman"/>
          <w:sz w:val="22"/>
          <w:szCs w:val="22"/>
        </w:rPr>
        <w:t xml:space="preserve">As we seen vaccine </w:t>
      </w:r>
      <w:r w:rsidR="00A622EF">
        <w:rPr>
          <w:lang w:val="en-US"/>
          <w:rFonts w:ascii="Times New Roman" w:cs="Times New Roman" w:hAnsi="Times New Roman"/>
          <w:sz w:val="22"/>
          <w:szCs w:val="22"/>
        </w:rPr>
        <w:t>rollouts</w:t>
      </w:r>
      <w:r w:rsidR="00F94637">
        <w:rPr>
          <w:lang w:val="en-US"/>
          <w:rFonts w:ascii="Times New Roman" w:cs="Times New Roman" w:hAnsi="Times New Roman"/>
          <w:sz w:val="22"/>
          <w:szCs w:val="22"/>
        </w:rPr>
        <w:t xml:space="preserve"> in the developed world, we cannot but continue to wonder when equitable and timely access will become a reality, with more than 90 % of all future production of likely vaccine candidates being reserved for rich developed countries.</w:t>
      </w:r>
    </w:p>
    <w:p w:rsidR="00AE74EF" w:rsidRDefault="00AE74EF" w14:paraId="34CA9F7C" w14:textId="5C55285E" w:rsidP="00F628D0">
      <w:pPr>
        <w:jc w:val="both"/>
        <w:spacing w:line="276" w:lineRule="auto"/>
        <w:rPr>
          <w:lang w:val="en-US"/>
          <w:rFonts w:ascii="Times New Roman" w:cs="Times New Roman" w:hAnsi="Times New Roman"/>
          <w:sz w:val="22"/>
          <w:szCs w:val="22"/>
        </w:rPr>
      </w:pPr>
    </w:p>
    <w:p w:rsidR="00AE74EF" w:rsidRDefault="00AE74EF" w14:paraId="49FA9390" w14:textId="75098628" w:rsidP="00F628D0">
      <w:pPr>
        <w:jc w:val="both"/>
        <w:spacing w:line="276" w:lineRule="auto"/>
        <w:rPr>
          <w:lang w:val="en-GB"/>
          <w:rFonts w:ascii="Times New Roman" w:cs="Times New Roman" w:hAnsi="Times New Roman"/>
          <w:sz w:val="22"/>
          <w:szCs w:val="22"/>
        </w:rPr>
      </w:pPr>
      <w:r w:rsidRPr="00AE74EF">
        <w:rPr>
          <w:lang w:val="en-GB"/>
          <w:rFonts w:ascii="Times New Roman" w:cs="Times New Roman" w:hAnsi="Times New Roman"/>
          <w:sz w:val="22"/>
          <w:szCs w:val="22"/>
        </w:rPr>
        <w:t>With respect to TRIPS flexibilities, as mentioned in our previous statement, these flexibilities have played an important role in promoting access but were never designed to address the access challenge of a pandemic.</w:t>
        <w:lastRenderedPageBreak/>
      </w:r>
    </w:p>
    <w:p w:rsidR="00AE74EF" w:rsidRDefault="00AE74EF" w14:paraId="096CA70B" w14:textId="285103E0" w:rsidP="00F628D0">
      <w:pPr>
        <w:jc w:val="both"/>
        <w:spacing w:line="276" w:lineRule="auto"/>
        <w:rPr>
          <w:lang w:val="en-GB"/>
          <w:rFonts w:ascii="Times New Roman" w:cs="Times New Roman" w:hAnsi="Times New Roman"/>
          <w:sz w:val="22"/>
          <w:szCs w:val="22"/>
        </w:rPr>
      </w:pPr>
    </w:p>
    <w:p w:rsidR="00AE74EF" w:rsidRDefault="00AE74EF" w14:paraId="470E68AA" w14:textId="79A9DE51" w:rsidP="00F628D0" w:rsidRPr="00AE74EF">
      <w:pPr>
        <w:jc w:val="both"/>
        <w:spacing w:line="276" w:lineRule="auto"/>
        <w:rPr>
          <w:lang w:val="en-US"/>
          <w:rFonts w:ascii="Times New Roman" w:cs="Times New Roman" w:hAnsi="Times New Roman"/>
          <w:sz w:val="22"/>
          <w:szCs w:val="22"/>
        </w:rPr>
      </w:pPr>
      <w:r>
        <w:rPr>
          <w:lang w:val="en-GB"/>
          <w:rFonts w:ascii="Times New Roman" w:cs="Times New Roman" w:hAnsi="Times New Roman"/>
          <w:sz w:val="22"/>
          <w:szCs w:val="22"/>
        </w:rPr>
        <w:t>Today we would li</w:t>
      </w:r>
      <w:r w:rsidR="00B33758">
        <w:rPr>
          <w:lang w:val="en-GB"/>
          <w:rFonts w:ascii="Times New Roman" w:cs="Times New Roman" w:hAnsi="Times New Roman"/>
          <w:sz w:val="22"/>
          <w:szCs w:val="22"/>
        </w:rPr>
        <w:t>k</w:t>
      </w:r>
      <w:r>
        <w:rPr>
          <w:lang w:val="en-GB"/>
          <w:rFonts w:ascii="Times New Roman" w:cs="Times New Roman" w:hAnsi="Times New Roman"/>
          <w:sz w:val="22"/>
          <w:szCs w:val="22"/>
        </w:rPr>
        <w:t>e to revert to a few more questions that were raised on 3 December 2020.</w:t>
      </w:r>
    </w:p>
    <w:p w:rsidR="00B91722" w:rsidRDefault="00B91722" w14:paraId="2842E683" w14:textId="77777777" w:rsidP="00F628D0">
      <w:pPr>
        <w:jc w:val="both"/>
        <w:spacing w:line="276" w:lineRule="auto"/>
        <w:rPr>
          <w:b/>
          <w:color w:val="000000"/>
          <w:rFonts w:ascii="Times New Roman" w:cs="Times New Roman" w:hAnsi="Times New Roman"/>
          <w:sz w:val="22"/>
          <w:szCs w:val="22"/>
        </w:rPr>
      </w:pPr>
    </w:p>
    <w:p w:rsidR="00B91722" w:rsidRDefault="00B91722" w14:paraId="1EA98A83" w14:textId="146E7614" w:rsidP="00F628D0">
      <w:pPr>
        <w:jc w:val="both"/>
        <w:spacing w:line="276" w:lineRule="auto"/>
        <w:rPr>
          <w:b/>
          <w:color w:val="000000"/>
          <w:rFonts w:ascii="Times New Roman" w:cs="Times New Roman" w:hAnsi="Times New Roman"/>
          <w:sz w:val="22"/>
          <w:szCs w:val="22"/>
        </w:rPr>
      </w:pPr>
      <w:r w:rsidRPr="00B91722">
        <w:rPr>
          <w:b/>
          <w:color w:val="000000"/>
          <w:rFonts w:ascii="Times New Roman" w:cs="Times New Roman" w:hAnsi="Times New Roman"/>
          <w:sz w:val="22"/>
          <w:szCs w:val="22"/>
        </w:rPr>
        <w:t xml:space="preserve">Some delegations (Brazil, EU, Switzerland) have referred to IP/C/W/670 and asserted </w:t>
      </w:r>
      <w:r>
        <w:rPr>
          <w:lang w:val="en-US"/>
          <w:b/>
          <w:color w:val="000000"/>
          <w:rFonts w:ascii="Times New Roman" w:cs="Times New Roman" w:hAnsi="Times New Roman"/>
          <w:sz w:val="22"/>
          <w:szCs w:val="22"/>
        </w:rPr>
        <w:t xml:space="preserve">at the </w:t>
      </w:r>
      <w:r w:rsidR="00AE74EF">
        <w:rPr>
          <w:lang w:val="en-US"/>
          <w:b/>
          <w:color w:val="000000"/>
          <w:rFonts w:ascii="Times New Roman" w:cs="Times New Roman" w:hAnsi="Times New Roman"/>
          <w:sz w:val="22"/>
          <w:szCs w:val="22"/>
        </w:rPr>
        <w:t>3</w:t>
      </w:r>
      <w:r>
        <w:rPr>
          <w:lang w:val="en-US"/>
          <w:b/>
          <w:color w:val="000000"/>
          <w:rFonts w:ascii="Times New Roman" w:cs="Times New Roman" w:hAnsi="Times New Roman"/>
          <w:sz w:val="22"/>
          <w:szCs w:val="22"/>
        </w:rPr>
        <w:t xml:space="preserve"> December informal meeting </w:t>
      </w:r>
      <w:r w:rsidRPr="00B91722">
        <w:rPr>
          <w:b/>
          <w:color w:val="000000"/>
          <w:rFonts w:ascii="Times New Roman" w:cs="Times New Roman" w:hAnsi="Times New Roman"/>
          <w:sz w:val="22"/>
          <w:szCs w:val="22"/>
        </w:rPr>
        <w:t>that the mere existence of patent or patent application</w:t>
      </w:r>
      <w:r>
        <w:rPr>
          <w:lang w:val="en-US"/>
          <w:b/>
          <w:color w:val="000000"/>
          <w:rFonts w:ascii="Times New Roman" w:cs="Times New Roman" w:hAnsi="Times New Roman"/>
          <w:sz w:val="22"/>
          <w:szCs w:val="22"/>
        </w:rPr>
        <w:t>s</w:t>
      </w:r>
      <w:r w:rsidRPr="00B91722">
        <w:rPr>
          <w:b/>
          <w:color w:val="000000"/>
          <w:rFonts w:ascii="Times New Roman" w:cs="Times New Roman" w:hAnsi="Times New Roman"/>
          <w:sz w:val="22"/>
          <w:szCs w:val="22"/>
        </w:rPr>
        <w:t xml:space="preserve"> does not amount to a barrier. EU mentioned that it would be interested to know more about these medicines.</w:t>
      </w:r>
    </w:p>
    <w:p w:rsidR="00B91722" w:rsidRDefault="00B91722" w14:paraId="77BEC996" w14:textId="77777777" w:rsidP="00F628D0">
      <w:pPr>
        <w:jc w:val="both"/>
        <w:spacing w:line="276" w:lineRule="auto"/>
        <w:rPr>
          <w:b/>
          <w:color w:val="000000"/>
          <w:rFonts w:ascii="Times New Roman" w:cs="Times New Roman" w:hAnsi="Times New Roman"/>
          <w:sz w:val="22"/>
          <w:szCs w:val="22"/>
        </w:rPr>
      </w:pPr>
    </w:p>
    <w:p w:rsidR="00F628D0" w:rsidRDefault="00F628D0" w14:paraId="7B2CB7F7" w14:textId="69337FE8" w:rsidP="00F628D0" w:rsidRPr="005F3558">
      <w:pPr>
        <w:jc w:val="both"/>
        <w:spacing w:line="276" w:lineRule="auto"/>
        <w:rPr>
          <w:color w:val="000000"/>
          <w:rFonts w:ascii="Times New Roman" w:cs="Times New Roman" w:hAnsi="Times New Roman"/>
          <w:sz w:val="22"/>
          <w:szCs w:val="22"/>
        </w:rPr>
      </w:pPr>
      <w:r w:rsidRPr="005F3558">
        <w:rPr>
          <w:color w:val="000000"/>
          <w:rFonts w:ascii="Times New Roman" w:cs="Times New Roman" w:hAnsi="Times New Roman"/>
          <w:sz w:val="22"/>
          <w:szCs w:val="22"/>
        </w:rPr>
        <w:t>Document IP/C/W/670 presents a preliminary non-exhaustive snapshot of the patent filing and granting status on five selected therapeutics candidates that are under review by the WHO Access to COVID-19 Tools Accelerator (ACT-A) therapeutics pillar. Due to the interval between the time of patent filing and publication, which can take up to 18 months, new patent applications that might have been filed this year may emerge in the coming months.</w:t>
      </w:r>
    </w:p>
    <w:p w:rsidR="00F628D0" w:rsidRDefault="00F628D0" w14:paraId="7D9A7856" w14:textId="77777777" w:rsidP="00F628D0" w:rsidRPr="005F3558">
      <w:pPr>
        <w:jc w:val="both"/>
        <w:spacing w:line="276" w:lineRule="auto"/>
        <w:rPr>
          <w:color w:val="000000"/>
          <w:rFonts w:ascii="Times New Roman" w:cs="Times New Roman" w:hAnsi="Times New Roman"/>
          <w:sz w:val="22"/>
          <w:szCs w:val="22"/>
        </w:rPr>
      </w:pPr>
    </w:p>
    <w:p w:rsidR="00F628D0" w:rsidRDefault="00F628D0" w14:paraId="2A0773F4" w14:textId="29365451" w:rsidP="00F628D0" w:rsidRPr="005F3558">
      <w:pPr>
        <w:jc w:val="both"/>
        <w:spacing w:line="276" w:lineRule="auto"/>
        <w:rPr>
          <w:color w:val="000000"/>
          <w:rFonts w:ascii="Times New Roman" w:cs="Times New Roman" w:hAnsi="Times New Roman"/>
          <w:sz w:val="22"/>
          <w:szCs w:val="22"/>
        </w:rPr>
      </w:pPr>
      <w:r w:rsidRPr="005F3558">
        <w:rPr>
          <w:color w:val="000000"/>
          <w:rFonts w:ascii="Times New Roman" w:cs="Times New Roman" w:hAnsi="Times New Roman"/>
          <w:sz w:val="22"/>
          <w:szCs w:val="22"/>
        </w:rPr>
        <w:t xml:space="preserve">The first table shows </w:t>
      </w:r>
      <w:r w:rsidR="00A622EF">
        <w:rPr>
          <w:lang w:val="en-US"/>
          <w:color w:val="000000"/>
          <w:rFonts w:ascii="Times New Roman" w:cs="Times New Roman" w:hAnsi="Times New Roman"/>
          <w:sz w:val="22"/>
          <w:szCs w:val="22"/>
        </w:rPr>
        <w:t xml:space="preserve">a </w:t>
      </w:r>
      <w:r w:rsidRPr="005F3558">
        <w:rPr>
          <w:color w:val="000000"/>
          <w:rFonts w:ascii="Times New Roman" w:cs="Times New Roman" w:hAnsi="Times New Roman"/>
          <w:sz w:val="22"/>
          <w:szCs w:val="22"/>
        </w:rPr>
        <w:t xml:space="preserve">patent for Regeneron’s new monoclonal antibody REGN10993 + REGN10987 granted in the US in June 2020, </w:t>
      </w:r>
      <w:r w:rsidR="00AE74EF">
        <w:rPr>
          <w:lang w:val="en-US"/>
          <w:color w:val="000000"/>
          <w:rFonts w:ascii="Times New Roman" w:cs="Times New Roman" w:hAnsi="Times New Roman"/>
          <w:sz w:val="22"/>
          <w:szCs w:val="22"/>
        </w:rPr>
        <w:t xml:space="preserve">and which </w:t>
      </w:r>
      <w:r w:rsidRPr="005F3558">
        <w:rPr>
          <w:color w:val="000000"/>
          <w:rFonts w:ascii="Times New Roman" w:cs="Times New Roman" w:hAnsi="Times New Roman"/>
          <w:sz w:val="22"/>
          <w:szCs w:val="22"/>
        </w:rPr>
        <w:t>expir</w:t>
      </w:r>
      <w:r w:rsidR="00AE74EF">
        <w:rPr>
          <w:lang w:val="en-US"/>
          <w:color w:val="000000"/>
          <w:rFonts w:ascii="Times New Roman" w:cs="Times New Roman" w:hAnsi="Times New Roman"/>
          <w:sz w:val="22"/>
          <w:szCs w:val="22"/>
        </w:rPr>
        <w:t>es</w:t>
      </w:r>
      <w:r w:rsidRPr="005F3558">
        <w:rPr>
          <w:color w:val="000000"/>
          <w:rFonts w:ascii="Times New Roman" w:cs="Times New Roman" w:hAnsi="Times New Roman"/>
          <w:sz w:val="22"/>
          <w:szCs w:val="22"/>
        </w:rPr>
        <w:t xml:space="preserve"> only in 2040. Information on patent applications filed globally should emerge in several months. The access strategy of Regeneron on this therapy remains unknown.</w:t>
      </w:r>
    </w:p>
    <w:p w:rsidR="00F628D0" w:rsidRDefault="00F628D0" w14:paraId="7AF82317" w14:textId="77777777" w:rsidP="00F628D0" w:rsidRPr="005F3558">
      <w:pPr>
        <w:jc w:val="both"/>
        <w:spacing w:line="276" w:lineRule="auto"/>
        <w:rPr>
          <w:color w:val="000000"/>
          <w:rFonts w:ascii="Times New Roman" w:cs="Times New Roman" w:hAnsi="Times New Roman"/>
          <w:sz w:val="22"/>
          <w:szCs w:val="22"/>
        </w:rPr>
      </w:pPr>
    </w:p>
    <w:p w:rsidR="00F628D0" w:rsidRDefault="00F628D0" w14:paraId="1C672630" w14:textId="77777777" w:rsidP="00F628D0" w:rsidRPr="005F3558">
      <w:pPr>
        <w:jc w:val="both"/>
        <w:spacing w:line="276" w:lineRule="auto"/>
        <w:rPr>
          <w:color w:val="000000"/>
          <w:rFonts w:ascii="Times New Roman" w:cs="Times New Roman" w:hAnsi="Times New Roman"/>
          <w:sz w:val="22"/>
          <w:szCs w:val="22"/>
        </w:rPr>
      </w:pPr>
      <w:r w:rsidRPr="005F3558">
        <w:rPr>
          <w:color w:val="000000"/>
          <w:rFonts w:ascii="Times New Roman" w:cs="Times New Roman" w:hAnsi="Times New Roman"/>
          <w:sz w:val="22"/>
          <w:szCs w:val="22"/>
        </w:rPr>
        <w:t>Document IP/C/W/670 also reveals high levels of patent filing and granting on other COVID-19 candidates. Merck’s Molnupiravir (MK-4482) has primary patent applications filed in at least 28 jurisdictions, including two regional patent offices, expiring between 2035 and 2038. Atea pharmaceutical’s AT-527 has primary and secondary patents filed or granted in nearly 60 jurisdictions, expiring between 2036 and 2038. Incety Corp’s baricitinib has primary and secondary patents filed or granted in nearly 50 jurisdictions, expiring in 2029. Roche’s monoclonal antibody therapy tocilizumab has primary and secondary patents filed or granted in nearly 30 jurisdictions, expiring between 2022 and 2028.</w:t>
      </w:r>
    </w:p>
    <w:p w:rsidR="00F628D0" w:rsidRDefault="00F628D0" w14:paraId="3C30CA97" w14:textId="77777777" w:rsidP="00F628D0" w:rsidRPr="005F3558">
      <w:pPr>
        <w:jc w:val="both"/>
        <w:spacing w:line="276" w:lineRule="auto"/>
        <w:rPr>
          <w:color w:val="000000"/>
          <w:rFonts w:ascii="Times New Roman" w:cs="Times New Roman" w:hAnsi="Times New Roman"/>
          <w:sz w:val="22"/>
          <w:szCs w:val="22"/>
        </w:rPr>
      </w:pPr>
    </w:p>
    <w:p w:rsidR="00F628D0" w:rsidRDefault="00F628D0" w14:paraId="36D8E3D0" w14:textId="77777777" w:rsidP="00F628D0" w:rsidRPr="005F3558">
      <w:pPr>
        <w:jc w:val="both"/>
        <w:spacing w:line="276" w:lineRule="auto"/>
        <w:rPr>
          <w:color w:val="000000"/>
          <w:rFonts w:ascii="Times New Roman" w:cs="Times New Roman" w:hAnsi="Times New Roman"/>
          <w:sz w:val="22"/>
          <w:szCs w:val="22"/>
        </w:rPr>
      </w:pPr>
      <w:r w:rsidRPr="005F3558">
        <w:rPr>
          <w:color w:val="000000"/>
          <w:rFonts w:ascii="Times New Roman" w:cs="Times New Roman" w:hAnsi="Times New Roman"/>
          <w:sz w:val="22"/>
          <w:szCs w:val="22"/>
        </w:rPr>
        <w:t xml:space="preserve">IP/C/W/670 also presents the patent landscape for Pfizer/BioNTech and Moderna vaccines. </w:t>
      </w:r>
    </w:p>
    <w:p w:rsidR="00F628D0" w:rsidRDefault="00F628D0" w14:paraId="39A87E0D" w14:textId="77777777" w:rsidP="00F628D0" w:rsidRPr="005F3558">
      <w:pPr>
        <w:jc w:val="both"/>
        <w:spacing w:line="276" w:lineRule="auto"/>
        <w:rPr>
          <w:color w:val="000000"/>
          <w:rFonts w:ascii="Times New Roman" w:cs="Times New Roman" w:hAnsi="Times New Roman"/>
          <w:sz w:val="22"/>
          <w:szCs w:val="22"/>
        </w:rPr>
      </w:pPr>
    </w:p>
    <w:p w:rsidR="00F628D0" w:rsidRDefault="00F628D0" w14:paraId="0FF88A3F" w14:textId="77777777" w:rsidP="00F628D0" w:rsidRPr="005F3558">
      <w:pPr>
        <w:jc w:val="both"/>
        <w:spacing w:line="276" w:lineRule="auto"/>
        <w:rPr>
          <w:color w:val="000000"/>
          <w:rFonts w:ascii="Times New Roman" w:cs="Times New Roman" w:hAnsi="Times New Roman"/>
          <w:sz w:val="22"/>
          <w:szCs w:val="22"/>
        </w:rPr>
      </w:pPr>
      <w:r w:rsidRPr="005F3558">
        <w:rPr>
          <w:color w:val="000000"/>
          <w:rFonts w:ascii="Times New Roman" w:cs="Times New Roman" w:hAnsi="Times New Roman"/>
          <w:sz w:val="22"/>
          <w:szCs w:val="22"/>
        </w:rPr>
        <w:t xml:space="preserve">Patents confers its holder exclusive rights. With this monopoly the patent holder is able to prevent other competent manufacturers from producing and supplying the patented subject matter, as well as to charge exorbitant prices for the patented medicines, hence hindering the timely access to affordable treatment. </w:t>
      </w:r>
    </w:p>
    <w:p w:rsidR="00F628D0" w:rsidRDefault="00F628D0" w14:paraId="4CDC5E57" w14:textId="77777777" w:rsidP="00F628D0" w:rsidRPr="005F3558">
      <w:pPr>
        <w:jc w:val="both"/>
        <w:spacing w:line="276" w:lineRule="auto"/>
        <w:rPr>
          <w:color w:val="000000"/>
          <w:rFonts w:ascii="Times New Roman" w:cs="Times New Roman" w:hAnsi="Times New Roman"/>
          <w:sz w:val="22"/>
          <w:szCs w:val="22"/>
        </w:rPr>
      </w:pPr>
    </w:p>
    <w:p w:rsidR="00273019" w:rsidRDefault="00F628D0" w14:paraId="4400695D" w14:textId="633DAD23" w:rsidP="00273019" w:rsidRPr="00273019">
      <w:pPr>
        <w:jc w:val="both"/>
        <w:spacing w:line="276" w:lineRule="auto"/>
        <w:rPr>
          <w:lang w:val="en-US"/>
          <w:color w:val="000000"/>
          <w:rFonts w:ascii="Times New Roman" w:cs="Times New Roman" w:hAnsi="Times New Roman"/>
          <w:sz w:val="22"/>
          <w:szCs w:val="22"/>
        </w:rPr>
      </w:pPr>
      <w:r w:rsidRPr="005F3558">
        <w:rPr>
          <w:color w:val="000000"/>
          <w:rFonts w:ascii="Times New Roman" w:cs="Times New Roman" w:hAnsi="Times New Roman"/>
          <w:sz w:val="22"/>
          <w:szCs w:val="22"/>
        </w:rPr>
        <w:t xml:space="preserve">The patent landscape in IP/C/W/670 is a warning shot of the </w:t>
      </w:r>
      <w:r>
        <w:rPr>
          <w:color w:val="000000"/>
          <w:rFonts w:ascii="Times New Roman" w:cs="Times New Roman" w:hAnsi="Times New Roman"/>
          <w:sz w:val="22"/>
          <w:szCs w:val="22"/>
        </w:rPr>
        <w:t xml:space="preserve">existing and </w:t>
      </w:r>
      <w:r w:rsidRPr="005F3558">
        <w:rPr>
          <w:color w:val="000000"/>
          <w:rFonts w:ascii="Times New Roman" w:cs="Times New Roman" w:hAnsi="Times New Roman"/>
          <w:sz w:val="22"/>
          <w:szCs w:val="22"/>
        </w:rPr>
        <w:t xml:space="preserve">emerging patent barriers to access and the need for the international community to take urgent action to overcome these barriers so that supply may be diversified and scaled-up. </w:t>
      </w:r>
      <w:r w:rsidR="00273019">
        <w:rPr>
          <w:lang w:val="en-US"/>
          <w:color w:val="000000"/>
          <w:rFonts w:ascii="Times New Roman" w:cs="Times New Roman" w:hAnsi="Times New Roman"/>
          <w:sz w:val="22"/>
          <w:szCs w:val="22"/>
        </w:rPr>
        <w:t xml:space="preserve">Access to this type of information is critical to ensure further transparency and accountability. </w:t>
      </w:r>
      <w:r w:rsidR="00273019" w:rsidRPr="00273019">
        <w:rPr>
          <w:bCs/>
          <w:color w:val="000000"/>
          <w:rFonts w:ascii="Times New Roman" w:cs="Times New Roman" w:hAnsi="Times New Roman"/>
          <w:sz w:val="22"/>
          <w:szCs w:val="22"/>
        </w:rPr>
        <w:t xml:space="preserve">Up the hill at WIPO, we hear that the United States of America, has objected to the update of WIPO's review of existing research on patents and access to medical products and health technologies to extend the publication period of studies up to 2020.  In light of the destruction wrought by the COVID-19 pandemic, one wonders what the United States </w:t>
      </w:r>
      <w:r w:rsidR="006D4949">
        <w:rPr>
          <w:bCs/>
          <w:lang w:val="en-US"/>
          <w:color w:val="000000"/>
          <w:rFonts w:ascii="Times New Roman" w:cs="Times New Roman" w:hAnsi="Times New Roman"/>
          <w:sz w:val="22"/>
          <w:szCs w:val="22"/>
        </w:rPr>
        <w:t>concerns would be regarding an updated report</w:t>
      </w:r>
      <w:r w:rsidR="00273019" w:rsidRPr="00273019">
        <w:rPr>
          <w:bCs/>
          <w:color w:val="000000"/>
          <w:rFonts w:ascii="Times New Roman" w:cs="Times New Roman" w:hAnsi="Times New Roman"/>
          <w:sz w:val="22"/>
          <w:szCs w:val="22"/>
        </w:rPr>
        <w:t xml:space="preserve"> </w:t>
      </w:r>
      <w:r w:rsidR="006D4949">
        <w:rPr>
          <w:bCs/>
          <w:lang w:val="en-US"/>
          <w:color w:val="000000"/>
          <w:rFonts w:ascii="Times New Roman" w:cs="Times New Roman" w:hAnsi="Times New Roman"/>
          <w:sz w:val="22"/>
          <w:szCs w:val="22"/>
        </w:rPr>
        <w:t xml:space="preserve">by </w:t>
      </w:r>
      <w:r w:rsidR="00273019" w:rsidRPr="00273019">
        <w:rPr>
          <w:bCs/>
          <w:color w:val="000000"/>
          <w:rFonts w:ascii="Times New Roman" w:cs="Times New Roman" w:hAnsi="Times New Roman"/>
          <w:sz w:val="22"/>
          <w:szCs w:val="22"/>
        </w:rPr>
        <w:t>the WIPO Secretariat?</w:t>
      </w:r>
    </w:p>
    <w:p w:rsidR="00826100" w:rsidRDefault="00826100" w14:paraId="77E37701" w14:textId="77777777">
      <w:pPr>
        <w:rPr>
          <w:b/>
          <w:color w:val="000000"/>
          <w:rFonts w:ascii="Times New Roman" w:cs="Times New Roman" w:hAnsi="Times New Roman"/>
          <w:sz w:val="22"/>
          <w:szCs w:val="22"/>
        </w:rPr>
      </w:pPr>
    </w:p>
    <w:p w:rsidR="00B91722" w:rsidRDefault="00B91722" w14:paraId="31DBC524" w14:textId="77777777">
      <w:pPr>
        <w:rPr>
          <w:b/>
          <w:color w:val="000000"/>
          <w:rFonts w:ascii="Times New Roman" w:cs="Times New Roman" w:hAnsi="Times New Roman"/>
          <w:sz w:val="22"/>
          <w:szCs w:val="22"/>
        </w:rPr>
      </w:pPr>
    </w:p>
    <w:p w:rsidR="00F628D0" w:rsidRDefault="00B91722" w14:paraId="02248AD8" w14:textId="4BA5C74D">
      <w:r w:rsidRPr="005F3558">
        <w:rPr>
          <w:b/>
          <w:color w:val="000000"/>
          <w:rFonts w:ascii="Times New Roman" w:cs="Times New Roman" w:hAnsi="Times New Roman"/>
          <w:sz w:val="22"/>
          <w:szCs w:val="22"/>
        </w:rPr>
        <w:t>EU has queried what would the domestic implementation of the waiver entail and why would it be easier to carry out than introducing fast-track procedures for compulsory licensing on the basis of the existing system?</w:t>
        <w:lastRenderedPageBreak/>
      </w:r>
    </w:p>
    <w:p w:rsidR="00F628D0" w:rsidRDefault="00F628D0" w14:paraId="22E9F12C" w14:textId="03D5EA12"/>
    <w:p w:rsidR="00F628D0" w:rsidRDefault="00F628D0" w14:paraId="0D37E9CD" w14:textId="794A1081" w:rsidP="00F628D0">
      <w:pPr>
        <w:jc w:val="both"/>
        <w:spacing w:line="276" w:lineRule="auto"/>
        <w:rPr>
          <w:rFonts w:ascii="Times New Roman" w:cs="Times New Roman" w:hAnsi="Times New Roman"/>
          <w:sz w:val="22"/>
          <w:szCs w:val="22"/>
        </w:rPr>
      </w:pPr>
      <w:r>
        <w:rPr>
          <w:rFonts w:ascii="Times New Roman" w:cs="Times New Roman" w:hAnsi="Times New Roman"/>
          <w:sz w:val="22"/>
          <w:szCs w:val="22"/>
        </w:rPr>
        <w:t>Under the TRIPS Agreement, the flexibilities available are simply insufficient to address the global access challenges that we are facing. In the informal sessions, we have elaborated on this point. With respect to fast-track procedure, under Art. 31 of TRIPS Agreement, there is the option to issue compulsory license on grounds of national emergency or other circumstance of extreme urgency without engaging in prior negotiations with the patent holder. However in practi</w:t>
      </w:r>
      <w:r w:rsidR="00F94637">
        <w:rPr>
          <w:lang w:val="en-US"/>
          <w:rFonts w:ascii="Times New Roman" w:cs="Times New Roman" w:hAnsi="Times New Roman"/>
          <w:sz w:val="22"/>
          <w:szCs w:val="22"/>
        </w:rPr>
        <w:t>c</w:t>
      </w:r>
      <w:r>
        <w:rPr>
          <w:rFonts w:ascii="Times New Roman" w:cs="Times New Roman" w:hAnsi="Times New Roman"/>
          <w:sz w:val="22"/>
          <w:szCs w:val="22"/>
        </w:rPr>
        <w:t xml:space="preserve">e, its use is dependent on requirements contained in national laws and regulations. Importantly this compulsory license is limited by the condition of Art. 31(f) that it has to be </w:t>
      </w:r>
      <w:r w:rsidRPr="00F94637">
        <w:rPr>
          <w:u w:val="single"/>
          <w:rFonts w:ascii="Times New Roman" w:cs="Times New Roman" w:hAnsi="Times New Roman"/>
          <w:sz w:val="22"/>
          <w:szCs w:val="22"/>
        </w:rPr>
        <w:t>predominantly for the supply of the domestic market, meaning only very limited export is allowed</w:t>
      </w:r>
      <w:r>
        <w:rPr>
          <w:rFonts w:ascii="Times New Roman" w:cs="Times New Roman" w:hAnsi="Times New Roman"/>
          <w:sz w:val="22"/>
          <w:szCs w:val="22"/>
        </w:rPr>
        <w:t xml:space="preserve">. </w:t>
      </w:r>
    </w:p>
    <w:p w:rsidR="00F628D0" w:rsidRDefault="00F628D0" w14:paraId="351114FF" w14:textId="77777777" w:rsidP="00F628D0">
      <w:pPr>
        <w:jc w:val="both"/>
        <w:spacing w:line="276" w:lineRule="auto"/>
        <w:rPr>
          <w:rFonts w:ascii="Times New Roman" w:cs="Times New Roman" w:hAnsi="Times New Roman"/>
          <w:sz w:val="22"/>
          <w:szCs w:val="22"/>
        </w:rPr>
      </w:pPr>
    </w:p>
    <w:p w:rsidR="00F628D0" w:rsidRDefault="00F628D0" w14:paraId="6B5F44F7" w14:textId="244D60E6" w:rsidP="00F628D0">
      <w:pPr>
        <w:jc w:val="both"/>
        <w:spacing w:line="276" w:lineRule="auto"/>
        <w:rPr>
          <w:rFonts w:ascii="Times New Roman" w:cs="Times New Roman" w:hAnsi="Times New Roman"/>
          <w:sz w:val="22"/>
          <w:szCs w:val="22"/>
        </w:rPr>
      </w:pPr>
      <w:r>
        <w:rPr>
          <w:rFonts w:ascii="Times New Roman" w:cs="Times New Roman" w:hAnsi="Times New Roman"/>
          <w:sz w:val="22"/>
          <w:szCs w:val="22"/>
        </w:rPr>
        <w:t>To export</w:t>
      </w:r>
      <w:r w:rsidR="00A622EF">
        <w:rPr>
          <w:lang w:val="en-US"/>
          <w:rFonts w:ascii="Times New Roman" w:cs="Times New Roman" w:hAnsi="Times New Roman"/>
          <w:sz w:val="22"/>
          <w:szCs w:val="22"/>
        </w:rPr>
        <w:t>,</w:t>
      </w:r>
      <w:r>
        <w:rPr>
          <w:rFonts w:ascii="Times New Roman" w:cs="Times New Roman" w:hAnsi="Times New Roman"/>
          <w:sz w:val="22"/>
          <w:szCs w:val="22"/>
        </w:rPr>
        <w:t xml:space="preserve"> the requirements of Art. 31</w:t>
      </w:r>
      <w:r w:rsidRPr="005F3558">
        <w:rPr>
          <w:i/>
          <w:rFonts w:ascii="Times New Roman" w:cs="Times New Roman" w:hAnsi="Times New Roman"/>
          <w:sz w:val="22"/>
          <w:szCs w:val="22"/>
        </w:rPr>
        <w:t>bis</w:t>
      </w:r>
      <w:r>
        <w:rPr>
          <w:rFonts w:ascii="Times New Roman" w:cs="Times New Roman" w:hAnsi="Times New Roman"/>
          <w:sz w:val="22"/>
          <w:szCs w:val="22"/>
        </w:rPr>
        <w:t xml:space="preserve"> have to be followed, and this includes issuing compulsory licenses in importing and exporting countries, and compliance with other procedures. </w:t>
      </w:r>
    </w:p>
    <w:p w:rsidR="00F628D0" w:rsidRDefault="00F628D0" w14:paraId="40E598C3" w14:textId="77777777" w:rsidP="00F628D0">
      <w:pPr>
        <w:jc w:val="both"/>
        <w:spacing w:line="276" w:lineRule="auto"/>
        <w:rPr>
          <w:rFonts w:ascii="Times New Roman" w:cs="Times New Roman" w:hAnsi="Times New Roman"/>
          <w:sz w:val="22"/>
          <w:szCs w:val="22"/>
        </w:rPr>
      </w:pPr>
    </w:p>
    <w:p w:rsidR="00F628D0" w:rsidRDefault="00F628D0" w14:paraId="4322535F" w14:textId="5915191F" w:rsidP="00F628D0" w:rsidRPr="005F3558">
      <w:pPr>
        <w:jc w:val="both"/>
        <w:spacing w:line="276" w:lineRule="auto"/>
        <w:rPr>
          <w:rFonts w:ascii="Times New Roman" w:cs="Times New Roman" w:hAnsi="Times New Roman"/>
          <w:sz w:val="22"/>
          <w:szCs w:val="22"/>
        </w:rPr>
      </w:pPr>
      <w:r>
        <w:rPr>
          <w:rFonts w:ascii="Times New Roman" w:cs="Times New Roman" w:hAnsi="Times New Roman"/>
          <w:sz w:val="22"/>
          <w:szCs w:val="22"/>
        </w:rPr>
        <w:t xml:space="preserve">The importing country will </w:t>
      </w:r>
      <w:r w:rsidR="00A622EF">
        <w:rPr>
          <w:lang w:val="en-US"/>
          <w:rFonts w:ascii="Times New Roman" w:cs="Times New Roman" w:hAnsi="Times New Roman"/>
          <w:sz w:val="22"/>
          <w:szCs w:val="22"/>
        </w:rPr>
        <w:t>in its</w:t>
      </w:r>
      <w:r>
        <w:rPr>
          <w:rFonts w:ascii="Times New Roman" w:cs="Times New Roman" w:hAnsi="Times New Roman"/>
          <w:sz w:val="22"/>
          <w:szCs w:val="22"/>
        </w:rPr>
        <w:t xml:space="preserve"> notif</w:t>
      </w:r>
      <w:proofErr w:type="spellStart"/>
      <w:r w:rsidR="00A622EF">
        <w:rPr>
          <w:lang w:val="en-US"/>
          <w:rFonts w:ascii="Times New Roman" w:cs="Times New Roman" w:hAnsi="Times New Roman"/>
          <w:sz w:val="22"/>
          <w:szCs w:val="22"/>
        </w:rPr>
        <w:t>ication</w:t>
      </w:r>
      <w:proofErr w:type="spellEnd"/>
      <w:r w:rsidR="00A622EF">
        <w:rPr>
          <w:lang w:val="en-US"/>
          <w:rFonts w:ascii="Times New Roman" w:cs="Times New Roman" w:hAnsi="Times New Roman"/>
          <w:sz w:val="22"/>
          <w:szCs w:val="22"/>
        </w:rPr>
        <w:t xml:space="preserve"> to</w:t>
      </w:r>
      <w:r>
        <w:rPr>
          <w:rFonts w:ascii="Times New Roman" w:cs="Times New Roman" w:hAnsi="Times New Roman"/>
          <w:sz w:val="22"/>
          <w:szCs w:val="22"/>
        </w:rPr>
        <w:t xml:space="preserve"> </w:t>
      </w:r>
      <w:r w:rsidRPr="005F3558">
        <w:rPr>
          <w:rFonts w:ascii="Times New Roman" w:cs="Times New Roman" w:hAnsi="Times New Roman"/>
          <w:sz w:val="22"/>
          <w:szCs w:val="22"/>
        </w:rPr>
        <w:t>the Council for TRIPS:</w:t>
      </w:r>
    </w:p>
    <w:p w:rsidR="00826100" w:rsidRDefault="00826100" w14:paraId="5A8D8F62" w14:textId="77777777" w:rsidP="00F628D0">
      <w:pPr>
        <w:jc w:val="both"/>
        <w:spacing w:line="276" w:lineRule="auto"/>
        <w:rPr>
          <w:rFonts w:ascii="Times New Roman" w:cs="Times New Roman" w:hAnsi="Times New Roman"/>
          <w:sz w:val="22"/>
          <w:szCs w:val="22"/>
        </w:rPr>
      </w:pPr>
    </w:p>
    <w:p w:rsidR="00F628D0" w:rsidRDefault="00F628D0" w14:paraId="16E537E2" w14:textId="56071ED7" w:rsidP="00F628D0" w:rsidRPr="005F3558">
      <w:pPr>
        <w:jc w:val="both"/>
        <w:spacing w:line="276" w:lineRule="auto"/>
        <w:rPr>
          <w:rFonts w:ascii="Times New Roman" w:cs="Times New Roman" w:hAnsi="Times New Roman"/>
          <w:sz w:val="22"/>
          <w:szCs w:val="22"/>
        </w:rPr>
      </w:pPr>
      <w:r w:rsidRPr="005F3558">
        <w:rPr>
          <w:rFonts w:ascii="Times New Roman" w:cs="Times New Roman" w:hAnsi="Times New Roman"/>
          <w:sz w:val="22"/>
          <w:szCs w:val="22"/>
        </w:rPr>
        <w:t>(i)</w:t>
      </w:r>
      <w:r>
        <w:rPr>
          <w:rFonts w:ascii="Times New Roman" w:cs="Times New Roman" w:hAnsi="Times New Roman"/>
          <w:sz w:val="22"/>
          <w:szCs w:val="22"/>
        </w:rPr>
        <w:t xml:space="preserve"> </w:t>
      </w:r>
      <w:r w:rsidRPr="005F3558">
        <w:rPr>
          <w:rFonts w:ascii="Times New Roman" w:cs="Times New Roman" w:hAnsi="Times New Roman"/>
          <w:sz w:val="22"/>
          <w:szCs w:val="22"/>
        </w:rPr>
        <w:t>specif</w:t>
      </w:r>
      <w:r w:rsidR="00CF5F3C">
        <w:rPr>
          <w:lang w:val="en-US"/>
          <w:rFonts w:ascii="Times New Roman" w:cs="Times New Roman" w:hAnsi="Times New Roman"/>
          <w:sz w:val="22"/>
          <w:szCs w:val="22"/>
        </w:rPr>
        <w:t>y</w:t>
      </w:r>
      <w:r w:rsidRPr="005F3558">
        <w:rPr>
          <w:rFonts w:ascii="Times New Roman" w:cs="Times New Roman" w:hAnsi="Times New Roman"/>
          <w:sz w:val="22"/>
          <w:szCs w:val="22"/>
        </w:rPr>
        <w:t xml:space="preserve"> the names and expected quantities of the product(s) needed ;</w:t>
      </w:r>
    </w:p>
    <w:p w:rsidR="00F628D0" w:rsidRDefault="00F628D0" w14:paraId="729DA0CE" w14:textId="1971971A" w:rsidP="00F628D0" w:rsidRPr="005F3558">
      <w:pPr>
        <w:jc w:val="both"/>
        <w:spacing w:line="276" w:lineRule="auto"/>
        <w:rPr>
          <w:rFonts w:ascii="Times New Roman" w:cs="Times New Roman" w:hAnsi="Times New Roman"/>
          <w:sz w:val="22"/>
          <w:szCs w:val="22"/>
        </w:rPr>
      </w:pPr>
      <w:r w:rsidRPr="005F3558">
        <w:rPr>
          <w:rFonts w:ascii="Times New Roman" w:cs="Times New Roman" w:hAnsi="Times New Roman"/>
          <w:sz w:val="22"/>
          <w:szCs w:val="22"/>
        </w:rPr>
        <w:t>(ii)</w:t>
      </w:r>
      <w:r>
        <w:rPr>
          <w:rFonts w:ascii="Times New Roman" w:cs="Times New Roman" w:hAnsi="Times New Roman"/>
          <w:sz w:val="22"/>
          <w:szCs w:val="22"/>
        </w:rPr>
        <w:t xml:space="preserve"> </w:t>
      </w:r>
      <w:r w:rsidRPr="005F3558">
        <w:rPr>
          <w:rFonts w:ascii="Times New Roman" w:cs="Times New Roman" w:hAnsi="Times New Roman"/>
          <w:sz w:val="22"/>
          <w:szCs w:val="22"/>
        </w:rPr>
        <w:t xml:space="preserve">confirm that the eligible importing Member in question, other than a least developed country Member, </w:t>
      </w:r>
      <w:r w:rsidRPr="00B13F60">
        <w:rPr>
          <w:u w:val="single"/>
          <w:rFonts w:ascii="Times New Roman" w:cs="Times New Roman" w:hAnsi="Times New Roman"/>
          <w:sz w:val="22"/>
          <w:szCs w:val="22"/>
        </w:rPr>
        <w:t>has established that it has insufficient or no manufacturing capacities in the pharmaceutical sector for the product(s) in question in one of the ways set out in the Appendix to the Annex of the TRIPS Agreement</w:t>
      </w:r>
      <w:r w:rsidR="00826100">
        <w:rPr>
          <w:lang w:val="en-US"/>
          <w:rFonts w:ascii="Times New Roman" w:cs="Times New Roman" w:hAnsi="Times New Roman"/>
          <w:sz w:val="22"/>
          <w:szCs w:val="22"/>
        </w:rPr>
        <w:t>;</w:t>
      </w:r>
      <w:r w:rsidRPr="005F3558">
        <w:rPr>
          <w:rFonts w:ascii="Times New Roman" w:cs="Times New Roman" w:hAnsi="Times New Roman"/>
          <w:sz w:val="22"/>
          <w:szCs w:val="22"/>
        </w:rPr>
        <w:t xml:space="preserve">  and</w:t>
      </w:r>
    </w:p>
    <w:p w:rsidR="00F628D0" w:rsidRDefault="00F628D0" w14:paraId="242EF886" w14:textId="35BE75F2" w:rsidP="00F628D0">
      <w:pPr>
        <w:jc w:val="both"/>
        <w:spacing w:line="276" w:lineRule="auto"/>
        <w:rPr>
          <w:rFonts w:ascii="Times New Roman" w:cs="Times New Roman" w:hAnsi="Times New Roman"/>
          <w:sz w:val="22"/>
          <w:szCs w:val="22"/>
        </w:rPr>
      </w:pPr>
      <w:r w:rsidRPr="005F3558">
        <w:rPr>
          <w:rFonts w:ascii="Times New Roman" w:cs="Times New Roman" w:hAnsi="Times New Roman"/>
          <w:sz w:val="22"/>
          <w:szCs w:val="22"/>
        </w:rPr>
        <w:t>(iii)</w:t>
      </w:r>
      <w:r>
        <w:rPr>
          <w:rFonts w:ascii="Times New Roman" w:cs="Times New Roman" w:hAnsi="Times New Roman"/>
          <w:sz w:val="22"/>
          <w:szCs w:val="22"/>
        </w:rPr>
        <w:t xml:space="preserve"> </w:t>
      </w:r>
      <w:r w:rsidRPr="005F3558">
        <w:rPr>
          <w:rFonts w:ascii="Times New Roman" w:cs="Times New Roman" w:hAnsi="Times New Roman"/>
          <w:sz w:val="22"/>
          <w:szCs w:val="22"/>
        </w:rPr>
        <w:t xml:space="preserve">confirm that, where a pharmaceutical product is patented in its territory, it has granted or intends </w:t>
      </w:r>
      <w:r w:rsidRPr="00B13F60">
        <w:rPr>
          <w:u w:val="single"/>
          <w:rFonts w:ascii="Times New Roman" w:cs="Times New Roman" w:hAnsi="Times New Roman"/>
          <w:sz w:val="22"/>
          <w:szCs w:val="22"/>
        </w:rPr>
        <w:t>to grant a compulsory licence in accordance with Articles 31 and 31bis of this Agreement and the provisions of the Annex to the TRIPS Agreement</w:t>
      </w:r>
      <w:r>
        <w:rPr>
          <w:rFonts w:ascii="Times New Roman" w:cs="Times New Roman" w:hAnsi="Times New Roman"/>
          <w:sz w:val="22"/>
          <w:szCs w:val="22"/>
        </w:rPr>
        <w:t xml:space="preserve">. </w:t>
      </w:r>
    </w:p>
    <w:p w:rsidR="00F628D0" w:rsidRDefault="00F628D0" w14:paraId="3900DF8F" w14:textId="77777777" w:rsidP="00F628D0">
      <w:pPr>
        <w:jc w:val="both"/>
        <w:spacing w:line="276" w:lineRule="auto"/>
        <w:rPr>
          <w:rFonts w:ascii="Times New Roman" w:cs="Times New Roman" w:hAnsi="Times New Roman"/>
          <w:sz w:val="22"/>
          <w:szCs w:val="22"/>
        </w:rPr>
      </w:pPr>
    </w:p>
    <w:p w:rsidR="00F628D0" w:rsidRDefault="00F628D0" w14:paraId="718D313C" w14:textId="582B5149" w:rsidP="00F628D0">
      <w:pPr>
        <w:jc w:val="both"/>
        <w:spacing w:line="276" w:lineRule="auto"/>
        <w:rPr>
          <w:rFonts w:ascii="Times New Roman" w:cs="Times New Roman" w:hAnsi="Times New Roman"/>
          <w:sz w:val="22"/>
          <w:szCs w:val="22"/>
        </w:rPr>
      </w:pPr>
      <w:r>
        <w:rPr>
          <w:rFonts w:ascii="Times New Roman" w:cs="Times New Roman" w:hAnsi="Times New Roman"/>
          <w:sz w:val="22"/>
          <w:szCs w:val="22"/>
        </w:rPr>
        <w:t>T</w:t>
      </w:r>
      <w:r w:rsidRPr="005F3558">
        <w:rPr>
          <w:rFonts w:ascii="Times New Roman" w:cs="Times New Roman" w:hAnsi="Times New Roman"/>
          <w:sz w:val="22"/>
          <w:szCs w:val="22"/>
        </w:rPr>
        <w:t xml:space="preserve">he exporting Member shall notify the Council for TRIPS of the grant of the licence, including the conditions attached to it. The information provided shall include the name and address of the licensee, the product(s) for which the licence has been granted, the quantity(ies) for which it has been granted, the country(ies) to which the product(s) is (are) to be supplied and the duration of the licence. The notification shall also indicate the address of the website </w:t>
      </w:r>
      <w:r>
        <w:rPr>
          <w:rFonts w:ascii="Times New Roman" w:cs="Times New Roman" w:hAnsi="Times New Roman"/>
          <w:sz w:val="22"/>
          <w:szCs w:val="22"/>
        </w:rPr>
        <w:t xml:space="preserve">whereby before the shipment, </w:t>
      </w:r>
      <w:r w:rsidRPr="005F3558">
        <w:rPr>
          <w:rFonts w:ascii="Times New Roman" w:cs="Times New Roman" w:hAnsi="Times New Roman"/>
          <w:sz w:val="22"/>
          <w:szCs w:val="22"/>
        </w:rPr>
        <w:t xml:space="preserve">the licensee </w:t>
      </w:r>
      <w:r>
        <w:rPr>
          <w:rFonts w:ascii="Times New Roman" w:cs="Times New Roman" w:hAnsi="Times New Roman"/>
          <w:sz w:val="22"/>
          <w:szCs w:val="22"/>
        </w:rPr>
        <w:t>is required to</w:t>
      </w:r>
      <w:r w:rsidRPr="005F3558">
        <w:rPr>
          <w:rFonts w:ascii="Times New Roman" w:cs="Times New Roman" w:hAnsi="Times New Roman"/>
          <w:sz w:val="22"/>
          <w:szCs w:val="22"/>
        </w:rPr>
        <w:t xml:space="preserve"> post information</w:t>
      </w:r>
      <w:r>
        <w:rPr>
          <w:rFonts w:ascii="Times New Roman" w:cs="Times New Roman" w:hAnsi="Times New Roman"/>
          <w:sz w:val="22"/>
          <w:szCs w:val="22"/>
        </w:rPr>
        <w:t xml:space="preserve"> about the </w:t>
      </w:r>
      <w:r w:rsidRPr="005F3558">
        <w:rPr>
          <w:rFonts w:ascii="Times New Roman" w:cs="Times New Roman" w:hAnsi="Times New Roman"/>
          <w:sz w:val="22"/>
          <w:szCs w:val="22"/>
        </w:rPr>
        <w:t>quantities being supplied to each destination an</w:t>
      </w:r>
      <w:r>
        <w:rPr>
          <w:rFonts w:ascii="Times New Roman" w:cs="Times New Roman" w:hAnsi="Times New Roman"/>
          <w:sz w:val="22"/>
          <w:szCs w:val="22"/>
        </w:rPr>
        <w:t xml:space="preserve">d </w:t>
      </w:r>
      <w:r w:rsidRPr="005F3558">
        <w:rPr>
          <w:rFonts w:ascii="Times New Roman" w:cs="Times New Roman" w:hAnsi="Times New Roman"/>
          <w:sz w:val="22"/>
          <w:szCs w:val="22"/>
        </w:rPr>
        <w:t>the distinguishing features of the product(s)</w:t>
      </w:r>
      <w:r>
        <w:rPr>
          <w:rFonts w:ascii="Times New Roman" w:cs="Times New Roman" w:hAnsi="Times New Roman"/>
          <w:sz w:val="22"/>
          <w:szCs w:val="22"/>
        </w:rPr>
        <w:t xml:space="preserve">. </w:t>
      </w:r>
    </w:p>
    <w:p w:rsidR="00F628D0" w:rsidRDefault="00F628D0" w14:paraId="50A6C527" w14:textId="77777777" w:rsidP="00F628D0">
      <w:pPr>
        <w:jc w:val="both"/>
        <w:spacing w:line="276" w:lineRule="auto"/>
        <w:rPr>
          <w:rFonts w:ascii="Times New Roman" w:cs="Times New Roman" w:hAnsi="Times New Roman"/>
          <w:sz w:val="22"/>
          <w:szCs w:val="22"/>
        </w:rPr>
      </w:pPr>
    </w:p>
    <w:p w:rsidR="00F628D0" w:rsidRDefault="00F628D0" w14:paraId="28E65AD6" w14:textId="10DA44A0" w:rsidP="00F628D0">
      <w:pPr>
        <w:jc w:val="both"/>
        <w:spacing w:line="276" w:lineRule="auto"/>
        <w:rPr>
          <w:rFonts w:ascii="Times New Roman" w:cs="Times New Roman" w:hAnsi="Times New Roman"/>
          <w:sz w:val="22"/>
          <w:szCs w:val="22"/>
        </w:rPr>
      </w:pPr>
      <w:r>
        <w:rPr>
          <w:rFonts w:ascii="Times New Roman" w:cs="Times New Roman" w:hAnsi="Times New Roman"/>
          <w:sz w:val="22"/>
          <w:szCs w:val="22"/>
        </w:rPr>
        <w:t>P</w:t>
      </w:r>
      <w:r w:rsidRPr="00095EF1">
        <w:rPr>
          <w:rFonts w:ascii="Times New Roman" w:cs="Times New Roman" w:hAnsi="Times New Roman"/>
          <w:sz w:val="22"/>
          <w:szCs w:val="22"/>
        </w:rPr>
        <w:t xml:space="preserve">roducts produced under the licence </w:t>
      </w:r>
      <w:r>
        <w:rPr>
          <w:rFonts w:ascii="Times New Roman" w:cs="Times New Roman" w:hAnsi="Times New Roman"/>
          <w:sz w:val="22"/>
          <w:szCs w:val="22"/>
        </w:rPr>
        <w:t xml:space="preserve">have to be </w:t>
      </w:r>
      <w:r w:rsidRPr="00095EF1">
        <w:rPr>
          <w:rFonts w:ascii="Times New Roman" w:cs="Times New Roman" w:hAnsi="Times New Roman"/>
          <w:sz w:val="22"/>
          <w:szCs w:val="22"/>
        </w:rPr>
        <w:t>clearly identified as being produced under the system through specific labelling or marking</w:t>
      </w:r>
      <w:r>
        <w:rPr>
          <w:rFonts w:ascii="Times New Roman" w:cs="Times New Roman" w:hAnsi="Times New Roman"/>
          <w:sz w:val="22"/>
          <w:szCs w:val="22"/>
        </w:rPr>
        <w:t xml:space="preserve"> and s</w:t>
      </w:r>
      <w:r w:rsidRPr="00095EF1">
        <w:rPr>
          <w:rFonts w:ascii="Times New Roman" w:cs="Times New Roman" w:hAnsi="Times New Roman"/>
          <w:sz w:val="22"/>
          <w:szCs w:val="22"/>
        </w:rPr>
        <w:t>uppliers should distinguish such products through special packaging and/or special colouring/shaping of the products themselves</w:t>
      </w:r>
      <w:r>
        <w:rPr>
          <w:rFonts w:ascii="Times New Roman" w:cs="Times New Roman" w:hAnsi="Times New Roman"/>
          <w:sz w:val="22"/>
          <w:szCs w:val="22"/>
        </w:rPr>
        <w:t xml:space="preserve">. </w:t>
      </w:r>
    </w:p>
    <w:p w:rsidR="00F628D0" w:rsidRDefault="00F628D0" w14:paraId="28378C46" w14:textId="77777777" w:rsidP="00F628D0">
      <w:pPr>
        <w:jc w:val="both"/>
        <w:spacing w:line="276" w:lineRule="auto"/>
        <w:rPr>
          <w:rFonts w:ascii="Times New Roman" w:cs="Times New Roman" w:hAnsi="Times New Roman"/>
          <w:sz w:val="22"/>
          <w:szCs w:val="22"/>
        </w:rPr>
      </w:pPr>
    </w:p>
    <w:p w:rsidR="00F628D0" w:rsidRDefault="00F628D0" w14:paraId="760D2CAC" w14:textId="77777777" w:rsidP="00F628D0">
      <w:pPr>
        <w:jc w:val="both"/>
        <w:spacing w:line="276" w:lineRule="auto"/>
        <w:rPr>
          <w:rFonts w:ascii="Times New Roman" w:cs="Times New Roman" w:hAnsi="Times New Roman"/>
          <w:sz w:val="22"/>
          <w:szCs w:val="22"/>
        </w:rPr>
      </w:pPr>
      <w:r>
        <w:rPr>
          <w:rFonts w:ascii="Times New Roman" w:cs="Times New Roman" w:hAnsi="Times New Roman"/>
          <w:sz w:val="22"/>
          <w:szCs w:val="22"/>
        </w:rPr>
        <w:t>These are just some requirements of Art. 31</w:t>
      </w:r>
      <w:r w:rsidRPr="005F3558">
        <w:rPr>
          <w:i/>
          <w:rFonts w:ascii="Times New Roman" w:cs="Times New Roman" w:hAnsi="Times New Roman"/>
          <w:sz w:val="22"/>
          <w:szCs w:val="22"/>
        </w:rPr>
        <w:t>bis</w:t>
      </w:r>
      <w:r>
        <w:rPr>
          <w:rFonts w:ascii="Times New Roman" w:cs="Times New Roman" w:hAnsi="Times New Roman"/>
          <w:sz w:val="22"/>
          <w:szCs w:val="22"/>
        </w:rPr>
        <w:t xml:space="preserve">. National laws may include other requirements. </w:t>
      </w:r>
    </w:p>
    <w:p w:rsidR="00F628D0" w:rsidRDefault="00F628D0" w14:paraId="7277BB1E" w14:textId="77777777" w:rsidP="00F628D0">
      <w:pPr>
        <w:jc w:val="both"/>
        <w:spacing w:line="276" w:lineRule="auto"/>
        <w:rPr>
          <w:rFonts w:ascii="Times New Roman" w:cs="Times New Roman" w:hAnsi="Times New Roman"/>
          <w:sz w:val="22"/>
          <w:szCs w:val="22"/>
        </w:rPr>
      </w:pPr>
    </w:p>
    <w:p w:rsidR="00F628D0" w:rsidRDefault="00F628D0" w14:paraId="765258D1" w14:textId="77777777" w:rsidP="00F628D0" w:rsidRPr="00CF5F3C">
      <w:pPr>
        <w:jc w:val="both"/>
        <w:spacing w:line="276" w:lineRule="auto"/>
        <w:rPr>
          <w:u w:val="single"/>
          <w:rFonts w:ascii="Times New Roman" w:cs="Times New Roman" w:hAnsi="Times New Roman"/>
          <w:sz w:val="22"/>
          <w:szCs w:val="22"/>
        </w:rPr>
      </w:pPr>
      <w:r w:rsidRPr="00CF5F3C">
        <w:rPr>
          <w:u w:val="single"/>
          <w:rFonts w:ascii="Times New Roman" w:cs="Times New Roman" w:hAnsi="Times New Roman"/>
          <w:sz w:val="22"/>
          <w:szCs w:val="22"/>
        </w:rPr>
        <w:t xml:space="preserve">These conditions cannot be referred to as a fast-track process. In fact the process of issuing CLs will have to be repeated again as more effective medical technologies enter the market. They are also not conducive to achieving economies of scale, which are crucial to motivate large scale manufacturing and lower prices of medical products. The current circumstances are especially problematic for countries with insufficient manufacturing capacity.  </w:t>
      </w:r>
    </w:p>
    <w:p w:rsidR="00F628D0" w:rsidRDefault="00F628D0" w14:paraId="502651EC" w14:textId="77777777" w:rsidP="00F628D0">
      <w:pPr>
        <w:jc w:val="both"/>
        <w:spacing w:line="276" w:lineRule="auto"/>
        <w:rPr>
          <w:rFonts w:ascii="Times New Roman" w:cs="Times New Roman" w:hAnsi="Times New Roman"/>
          <w:sz w:val="22"/>
          <w:szCs w:val="22"/>
        </w:rPr>
      </w:pPr>
    </w:p>
    <w:p w:rsidR="00F628D0" w:rsidRDefault="00F628D0" w14:paraId="69219848" w14:textId="77777777" w:rsidP="00F628D0" w:rsidRPr="005F3558">
      <w:pPr>
        <w:jc w:val="both"/>
        <w:spacing w:line="276" w:lineRule="auto"/>
        <w:rPr>
          <w:rFonts w:ascii="Times New Roman" w:cs="Times New Roman" w:hAnsi="Times New Roman"/>
          <w:sz w:val="22"/>
          <w:szCs w:val="22"/>
        </w:rPr>
      </w:pPr>
      <w:r>
        <w:rPr>
          <w:rFonts w:ascii="Times New Roman" w:cs="Times New Roman" w:hAnsi="Times New Roman"/>
          <w:sz w:val="22"/>
          <w:szCs w:val="22"/>
        </w:rPr>
        <w:t xml:space="preserve">Also worth recalling that Art. 31 and 31bis only </w:t>
        <w:lastRenderedPageBreak/>
      </w:r>
      <w:r w:rsidRPr="00B13F60">
        <w:rPr>
          <w:u w:val="single"/>
          <w:rFonts w:ascii="Times New Roman" w:cs="Times New Roman" w:hAnsi="Times New Roman"/>
          <w:sz w:val="22"/>
          <w:szCs w:val="22"/>
        </w:rPr>
        <w:t>addresses patent barriers while there are also challenges with respect to protection of undisclosed information, a barrier which remains unaddressed</w:t>
      </w:r>
      <w:r>
        <w:rPr>
          <w:rFonts w:ascii="Times New Roman" w:cs="Times New Roman" w:hAnsi="Times New Roman"/>
          <w:sz w:val="22"/>
          <w:szCs w:val="22"/>
        </w:rPr>
        <w:t xml:space="preserve">. </w:t>
      </w:r>
      <w:r w:rsidRPr="00095EF1">
        <w:rPr>
          <w:rFonts w:ascii="Times New Roman" w:cs="Times New Roman" w:hAnsi="Times New Roman"/>
          <w:sz w:val="22"/>
          <w:szCs w:val="22"/>
        </w:rPr>
        <w:t xml:space="preserve">On </w:t>
      </w:r>
      <w:r>
        <w:rPr>
          <w:rFonts w:ascii="Times New Roman" w:cs="Times New Roman" w:hAnsi="Times New Roman"/>
          <w:sz w:val="22"/>
          <w:szCs w:val="22"/>
        </w:rPr>
        <w:t xml:space="preserve">this </w:t>
      </w:r>
      <w:r w:rsidRPr="00095EF1">
        <w:rPr>
          <w:rFonts w:ascii="Times New Roman" w:cs="Times New Roman" w:hAnsi="Times New Roman"/>
          <w:sz w:val="22"/>
          <w:szCs w:val="22"/>
        </w:rPr>
        <w:t>especially Art. 39.3 , the EU</w:t>
      </w:r>
      <w:r>
        <w:rPr>
          <w:rFonts w:ascii="Times New Roman" w:cs="Times New Roman" w:hAnsi="Times New Roman"/>
          <w:sz w:val="22"/>
          <w:szCs w:val="22"/>
        </w:rPr>
        <w:t xml:space="preserve">, </w:t>
      </w:r>
      <w:r w:rsidRPr="00095EF1">
        <w:rPr>
          <w:rFonts w:ascii="Times New Roman" w:cs="Times New Roman" w:hAnsi="Times New Roman"/>
          <w:sz w:val="22"/>
          <w:szCs w:val="22"/>
        </w:rPr>
        <w:t>US</w:t>
      </w:r>
      <w:r>
        <w:rPr>
          <w:rFonts w:ascii="Times New Roman" w:cs="Times New Roman" w:hAnsi="Times New Roman"/>
          <w:sz w:val="22"/>
          <w:szCs w:val="22"/>
        </w:rPr>
        <w:t xml:space="preserve"> and other developed countries </w:t>
      </w:r>
      <w:r w:rsidRPr="00095EF1">
        <w:rPr>
          <w:rFonts w:ascii="Times New Roman" w:cs="Times New Roman" w:hAnsi="Times New Roman"/>
          <w:sz w:val="22"/>
          <w:szCs w:val="22"/>
        </w:rPr>
        <w:t xml:space="preserve">constantly criticise other WTO members especially developing countries </w:t>
      </w:r>
      <w:r>
        <w:rPr>
          <w:rFonts w:ascii="Times New Roman" w:cs="Times New Roman" w:hAnsi="Times New Roman"/>
          <w:sz w:val="22"/>
          <w:szCs w:val="22"/>
        </w:rPr>
        <w:t xml:space="preserve">for using flexibility allowed by the provision to promote public health. </w:t>
      </w:r>
      <w:r w:rsidRPr="00095EF1">
        <w:rPr>
          <w:rFonts w:ascii="Times New Roman" w:cs="Times New Roman" w:hAnsi="Times New Roman"/>
          <w:sz w:val="22"/>
          <w:szCs w:val="22"/>
        </w:rPr>
        <w:t xml:space="preserve">Given this kind of action undermines the ability of governments to respond to </w:t>
      </w:r>
      <w:r>
        <w:rPr>
          <w:rFonts w:ascii="Times New Roman" w:cs="Times New Roman" w:hAnsi="Times New Roman"/>
          <w:sz w:val="22"/>
          <w:szCs w:val="22"/>
        </w:rPr>
        <w:t xml:space="preserve">a </w:t>
      </w:r>
      <w:r w:rsidRPr="00095EF1">
        <w:rPr>
          <w:rFonts w:ascii="Times New Roman" w:cs="Times New Roman" w:hAnsi="Times New Roman"/>
          <w:sz w:val="22"/>
          <w:szCs w:val="22"/>
        </w:rPr>
        <w:t>pandemic, a waiver is justified for it would provide all governments legal certainty.</w:t>
      </w:r>
    </w:p>
    <w:p w:rsidR="00F628D0" w:rsidRDefault="00F628D0" w14:paraId="48DC0249" w14:textId="77777777" w:rsidP="00F628D0" w:rsidRPr="005F3558">
      <w:pPr>
        <w:jc w:val="both"/>
        <w:spacing w:line="276" w:lineRule="auto"/>
        <w:rPr>
          <w:rFonts w:ascii="Times New Roman" w:cs="Times New Roman" w:hAnsi="Times New Roman"/>
          <w:sz w:val="22"/>
          <w:szCs w:val="22"/>
        </w:rPr>
      </w:pPr>
    </w:p>
    <w:p w:rsidR="00F628D0" w:rsidRDefault="00F628D0" w14:paraId="3B507539" w14:textId="42876DB0" w:rsidP="00F628D0">
      <w:pPr>
        <w:jc w:val="both"/>
        <w:spacing w:line="276" w:lineRule="auto"/>
        <w:rPr>
          <w:rFonts w:ascii="Times New Roman" w:cs="Times New Roman" w:hAnsi="Times New Roman"/>
          <w:sz w:val="22"/>
          <w:szCs w:val="22"/>
        </w:rPr>
      </w:pPr>
      <w:r w:rsidRPr="00B13F60">
        <w:rPr>
          <w:u w:val="single"/>
          <w:rFonts w:ascii="Times New Roman" w:cs="Times New Roman" w:hAnsi="Times New Roman"/>
          <w:sz w:val="22"/>
          <w:szCs w:val="22"/>
        </w:rPr>
        <w:t xml:space="preserve">Further if </w:t>
      </w:r>
      <w:r w:rsidR="00B91722" w:rsidRPr="00B13F60">
        <w:rPr>
          <w:lang w:val="en-US"/>
          <w:u w:val="single"/>
          <w:rFonts w:ascii="Times New Roman" w:cs="Times New Roman" w:hAnsi="Times New Roman"/>
          <w:sz w:val="22"/>
          <w:szCs w:val="22"/>
        </w:rPr>
        <w:t xml:space="preserve">the </w:t>
      </w:r>
      <w:r w:rsidRPr="00B13F60">
        <w:rPr>
          <w:u w:val="single"/>
          <w:rFonts w:ascii="Times New Roman" w:cs="Times New Roman" w:hAnsi="Times New Roman"/>
          <w:sz w:val="22"/>
          <w:szCs w:val="22"/>
        </w:rPr>
        <w:t>waiver is adopted, it is a one-time implementation, and may be achieved through executive action. It swiftly addresses all relevant IP barriers. And with its implementation, legal barriers to collaboration, development, production and supply are lifted.</w:t>
      </w:r>
      <w:r>
        <w:rPr>
          <w:rFonts w:ascii="Times New Roman" w:cs="Times New Roman" w:hAnsi="Times New Roman"/>
          <w:sz w:val="22"/>
          <w:szCs w:val="22"/>
        </w:rPr>
        <w:t xml:space="preserve"> A waiver provides legal certainty as to freedom to operate, economies of scale can easily be achieved and with supply expanded, substantial price reduction may be expected, leading to timely affordable access.  </w:t>
      </w:r>
    </w:p>
    <w:p w:rsidR="00F628D0" w:rsidRDefault="00F628D0" w14:paraId="18ADE938" w14:textId="77777777" w:rsidP="00F628D0">
      <w:pPr>
        <w:jc w:val="both"/>
        <w:spacing w:line="276" w:lineRule="auto"/>
        <w:rPr>
          <w:rFonts w:ascii="Times New Roman" w:cs="Times New Roman" w:hAnsi="Times New Roman"/>
          <w:sz w:val="22"/>
          <w:szCs w:val="22"/>
        </w:rPr>
      </w:pPr>
    </w:p>
    <w:p w:rsidR="00F628D0" w:rsidRDefault="00F628D0" w14:paraId="62D8D731" w14:textId="3E5E168A" w:rsidP="00F628D0" w:rsidRPr="00095EF1">
      <w:pPr>
        <w:jc w:val="both"/>
        <w:spacing w:line="276" w:lineRule="auto"/>
        <w:rPr>
          <w:rFonts w:ascii="Times New Roman" w:cs="Times New Roman" w:hAnsi="Times New Roman"/>
          <w:sz w:val="22"/>
          <w:szCs w:val="22"/>
        </w:rPr>
      </w:pPr>
      <w:r>
        <w:rPr>
          <w:rFonts w:ascii="Times New Roman" w:cs="Times New Roman" w:hAnsi="Times New Roman"/>
          <w:sz w:val="22"/>
          <w:szCs w:val="22"/>
        </w:rPr>
        <w:t>Strangely, developed countries are placing emphasis on use of TRIPS flexibilities, but w</w:t>
      </w:r>
      <w:r w:rsidRPr="00095EF1">
        <w:rPr>
          <w:rFonts w:ascii="Times New Roman" w:cs="Times New Roman" w:hAnsi="Times New Roman"/>
          <w:sz w:val="22"/>
          <w:szCs w:val="22"/>
        </w:rPr>
        <w:t>hy</w:t>
      </w:r>
      <w:r>
        <w:rPr>
          <w:rFonts w:ascii="Times New Roman" w:cs="Times New Roman" w:hAnsi="Times New Roman"/>
          <w:sz w:val="22"/>
          <w:szCs w:val="22"/>
        </w:rPr>
        <w:t xml:space="preserve"> is </w:t>
      </w:r>
      <w:r w:rsidRPr="00095EF1">
        <w:rPr>
          <w:rFonts w:ascii="Times New Roman" w:cs="Times New Roman" w:hAnsi="Times New Roman"/>
          <w:sz w:val="22"/>
          <w:szCs w:val="22"/>
        </w:rPr>
        <w:t>pressure been applied on developing countries for implementing public health safeguards in their intellectual property laws and policies</w:t>
      </w:r>
      <w:r>
        <w:rPr>
          <w:rFonts w:ascii="Times New Roman" w:cs="Times New Roman" w:hAnsi="Times New Roman"/>
          <w:sz w:val="22"/>
          <w:szCs w:val="22"/>
        </w:rPr>
        <w:t xml:space="preserve">, through </w:t>
      </w:r>
      <w:r w:rsidRPr="00095EF1">
        <w:rPr>
          <w:rFonts w:ascii="Times New Roman" w:cs="Times New Roman" w:hAnsi="Times New Roman"/>
          <w:sz w:val="22"/>
          <w:szCs w:val="22"/>
        </w:rPr>
        <w:t xml:space="preserve">EU’s annual IP enforcement report and </w:t>
      </w:r>
      <w:r>
        <w:rPr>
          <w:rFonts w:ascii="Times New Roman" w:cs="Times New Roman" w:hAnsi="Times New Roman"/>
          <w:sz w:val="22"/>
          <w:szCs w:val="22"/>
        </w:rPr>
        <w:t xml:space="preserve">US’ </w:t>
      </w:r>
      <w:r w:rsidRPr="00095EF1">
        <w:rPr>
          <w:rFonts w:ascii="Times New Roman" w:cs="Times New Roman" w:hAnsi="Times New Roman"/>
          <w:sz w:val="22"/>
          <w:szCs w:val="22"/>
        </w:rPr>
        <w:t xml:space="preserve">annual “Special 301 Report”, released </w:t>
      </w:r>
      <w:r>
        <w:rPr>
          <w:rFonts w:ascii="Times New Roman" w:cs="Times New Roman" w:hAnsi="Times New Roman"/>
          <w:sz w:val="22"/>
          <w:szCs w:val="22"/>
        </w:rPr>
        <w:t>in the midst of a raging</w:t>
      </w:r>
      <w:r w:rsidRPr="00095EF1">
        <w:rPr>
          <w:rFonts w:ascii="Times New Roman" w:cs="Times New Roman" w:hAnsi="Times New Roman"/>
          <w:sz w:val="22"/>
          <w:szCs w:val="22"/>
        </w:rPr>
        <w:t xml:space="preserve"> COVID-19 pandemic</w:t>
      </w:r>
      <w:r>
        <w:rPr>
          <w:rFonts w:ascii="Times New Roman" w:cs="Times New Roman" w:hAnsi="Times New Roman"/>
          <w:sz w:val="22"/>
          <w:szCs w:val="22"/>
        </w:rPr>
        <w:t xml:space="preserve">. </w:t>
      </w:r>
    </w:p>
    <w:p w:rsidR="00F628D0" w:rsidRDefault="00F628D0" w14:paraId="40817A26" w14:textId="5951D405"/>
    <w:p w:rsidR="00F450CA" w:rsidRDefault="00F450CA" w14:paraId="1DC23453" w14:textId="77777777"/>
    <w:p w:rsidR="00790C25" w:rsidRDefault="00A21AE6" w14:paraId="199A9540" w14:textId="5E93747D" w:rsidP="00790C25" w:rsidRPr="00790C25">
      <w:pPr>
        <w:jc w:val="both"/>
        <w:spacing w:line="276" w:lineRule="auto"/>
        <w:rPr>
          <w:bCs/>
          <w:b/>
          <w:rFonts w:ascii="Times New Roman" w:cs="Times New Roman" w:hAnsi="Times New Roman"/>
          <w:sz w:val="22"/>
          <w:szCs w:val="22"/>
        </w:rPr>
      </w:pPr>
      <w:r>
        <w:rPr>
          <w:bCs/>
          <w:lang w:val="en-US"/>
          <w:b/>
          <w:rFonts w:ascii="Times New Roman" w:cs="Times New Roman" w:hAnsi="Times New Roman"/>
          <w:sz w:val="22"/>
          <w:szCs w:val="22"/>
        </w:rPr>
        <w:t>Concluding remarks and</w:t>
      </w:r>
      <w:r w:rsidR="00790C25" w:rsidRPr="00790C25">
        <w:rPr>
          <w:bCs/>
          <w:b/>
          <w:rFonts w:ascii="Times New Roman" w:cs="Times New Roman" w:hAnsi="Times New Roman"/>
          <w:sz w:val="22"/>
          <w:szCs w:val="22"/>
        </w:rPr>
        <w:t xml:space="preserve"> </w:t>
      </w:r>
      <w:r>
        <w:rPr>
          <w:bCs/>
          <w:lang w:val="en-US"/>
          <w:b/>
          <w:rFonts w:ascii="Times New Roman" w:cs="Times New Roman" w:hAnsi="Times New Roman"/>
          <w:sz w:val="22"/>
          <w:szCs w:val="22"/>
        </w:rPr>
        <w:t>q</w:t>
      </w:r>
      <w:r w:rsidR="00790C25" w:rsidRPr="00790C25">
        <w:rPr>
          <w:bCs/>
          <w:b/>
          <w:rFonts w:ascii="Times New Roman" w:cs="Times New Roman" w:hAnsi="Times New Roman"/>
          <w:sz w:val="22"/>
          <w:szCs w:val="22"/>
        </w:rPr>
        <w:t xml:space="preserve">uestions to delegations that have raised </w:t>
      </w:r>
      <w:r>
        <w:rPr>
          <w:bCs/>
          <w:lang w:val="en-US"/>
          <w:b/>
          <w:rFonts w:ascii="Times New Roman" w:cs="Times New Roman" w:hAnsi="Times New Roman"/>
          <w:sz w:val="22"/>
          <w:szCs w:val="22"/>
        </w:rPr>
        <w:t xml:space="preserve">opposition to the waiver proposal </w:t>
      </w:r>
      <w:r w:rsidR="00790C25" w:rsidRPr="00790C25">
        <w:rPr>
          <w:bCs/>
          <w:b/>
          <w:rFonts w:ascii="Times New Roman" w:cs="Times New Roman" w:hAnsi="Times New Roman"/>
          <w:sz w:val="22"/>
          <w:szCs w:val="22"/>
        </w:rPr>
        <w:t>.</w:t>
      </w:r>
    </w:p>
    <w:p w:rsidR="00790C25" w:rsidRDefault="00790C25" w14:paraId="5A5C65CE" w14:textId="77777777" w:rsidP="00790C25" w:rsidRPr="00790C25">
      <w:pPr>
        <w:jc w:val="both"/>
        <w:spacing w:line="276" w:lineRule="auto"/>
        <w:rPr>
          <w:rFonts w:ascii="Times New Roman" w:cs="Times New Roman" w:hAnsi="Times New Roman"/>
          <w:sz w:val="22"/>
          <w:szCs w:val="22"/>
        </w:rPr>
      </w:pPr>
    </w:p>
    <w:p w:rsidR="00790C25" w:rsidRDefault="00790C25" w14:paraId="25BA7A76" w14:textId="77777777" w:rsidP="00790C25" w:rsidRPr="00790C25">
      <w:pPr>
        <w:jc w:val="both"/>
        <w:spacing w:line="276" w:lineRule="auto"/>
        <w:rPr>
          <w:rFonts w:ascii="Times New Roman" w:cs="Times New Roman" w:hAnsi="Times New Roman"/>
          <w:sz w:val="22"/>
          <w:szCs w:val="22"/>
        </w:rPr>
      </w:pPr>
    </w:p>
    <w:p w:rsidR="00790C25" w:rsidRDefault="00790C25" w14:paraId="7DF8C68C" w14:textId="66BF92EA" w:rsidP="00790C25" w:rsidRPr="00790C25">
      <w:pPr>
        <w:jc w:val="both"/>
        <w:spacing w:line="276" w:lineRule="auto"/>
        <w:rPr>
          <w:lang w:val="en-US"/>
          <w:rFonts w:ascii="Times New Roman" w:cs="Times New Roman" w:hAnsi="Times New Roman"/>
          <w:sz w:val="22"/>
          <w:szCs w:val="22"/>
        </w:rPr>
      </w:pPr>
      <w:r w:rsidRPr="00790C25">
        <w:rPr>
          <w:rFonts w:ascii="Times New Roman" w:cs="Times New Roman" w:hAnsi="Times New Roman"/>
          <w:sz w:val="22"/>
          <w:szCs w:val="22"/>
        </w:rPr>
        <w:t>At the 16th October TRIPS Council, the US said: “Where intellectual property rights exist, they can be licensed to companies around the world to scale up manufacturing”. Along the same lines, countries opposing the waiver proposal have argued in favour of voluntary licensing as the main vehicle for expanding global supply</w:t>
      </w:r>
      <w:r w:rsidR="00CF5F3C">
        <w:rPr>
          <w:lang w:val="en-US"/>
          <w:rFonts w:ascii="Times New Roman" w:cs="Times New Roman" w:hAnsi="Times New Roman"/>
          <w:sz w:val="22"/>
          <w:szCs w:val="22"/>
        </w:rPr>
        <w:t>.</w:t>
      </w:r>
    </w:p>
    <w:p w:rsidR="00790C25" w:rsidRDefault="00790C25" w14:paraId="4BE5E637" w14:textId="77777777" w:rsidP="00790C25" w:rsidRPr="00790C25">
      <w:pPr>
        <w:jc w:val="both"/>
        <w:spacing w:line="276" w:lineRule="auto"/>
        <w:rPr>
          <w:rFonts w:ascii="Times New Roman" w:cs="Times New Roman" w:hAnsi="Times New Roman"/>
          <w:sz w:val="22"/>
          <w:szCs w:val="22"/>
        </w:rPr>
      </w:pPr>
    </w:p>
    <w:p w:rsidR="00790C25" w:rsidRDefault="00790C25" w14:paraId="4DBDA179" w14:textId="49F2B832" w:rsidP="00790C25" w:rsidRPr="00790C25">
      <w:pPr>
        <w:jc w:val="both"/>
        <w:spacing w:line="276" w:lineRule="auto"/>
        <w:rPr>
          <w:rFonts w:ascii="Times New Roman" w:cs="Times New Roman" w:hAnsi="Times New Roman"/>
          <w:sz w:val="22"/>
          <w:szCs w:val="22"/>
        </w:rPr>
      </w:pPr>
      <w:r w:rsidRPr="00790C25">
        <w:rPr>
          <w:rFonts w:ascii="Times New Roman" w:cs="Times New Roman" w:hAnsi="Times New Roman"/>
          <w:sz w:val="22"/>
          <w:szCs w:val="22"/>
        </w:rPr>
        <w:t xml:space="preserve">-If VL mechanisms work, </w:t>
      </w:r>
      <w:r w:rsidR="00BC7911">
        <w:rPr>
          <w:lang w:val="en-US"/>
          <w:rFonts w:ascii="Times New Roman" w:cs="Times New Roman" w:hAnsi="Times New Roman"/>
          <w:sz w:val="22"/>
          <w:szCs w:val="22"/>
        </w:rPr>
        <w:t xml:space="preserve">why do various </w:t>
      </w:r>
      <w:r w:rsidRPr="00790C25">
        <w:rPr>
          <w:rFonts w:ascii="Times New Roman" w:cs="Times New Roman" w:hAnsi="Times New Roman"/>
          <w:sz w:val="22"/>
          <w:szCs w:val="22"/>
        </w:rPr>
        <w:t>license agreement</w:t>
      </w:r>
      <w:r w:rsidR="00BC7911">
        <w:rPr>
          <w:lang w:val="en-US"/>
          <w:rFonts w:ascii="Times New Roman" w:cs="Times New Roman" w:hAnsi="Times New Roman"/>
          <w:sz w:val="22"/>
          <w:szCs w:val="22"/>
        </w:rPr>
        <w:t>s concluded by companies [such as Gilead]</w:t>
      </w:r>
      <w:r w:rsidRPr="00790C25">
        <w:rPr>
          <w:rFonts w:ascii="Times New Roman" w:cs="Times New Roman" w:hAnsi="Times New Roman"/>
          <w:sz w:val="22"/>
          <w:szCs w:val="22"/>
        </w:rPr>
        <w:t xml:space="preserve"> exclu</w:t>
      </w:r>
      <w:r w:rsidR="00BC7911">
        <w:rPr>
          <w:lang w:val="en-US"/>
          <w:rFonts w:ascii="Times New Roman" w:cs="Times New Roman" w:hAnsi="Times New Roman"/>
          <w:sz w:val="22"/>
          <w:szCs w:val="22"/>
        </w:rPr>
        <w:t>de</w:t>
      </w:r>
      <w:r w:rsidRPr="00790C25">
        <w:rPr>
          <w:rFonts w:ascii="Times New Roman" w:cs="Times New Roman" w:hAnsi="Times New Roman"/>
          <w:sz w:val="22"/>
          <w:szCs w:val="22"/>
        </w:rPr>
        <w:t xml:space="preserve"> half of the world</w:t>
      </w:r>
      <w:r w:rsidR="00BC7911">
        <w:rPr>
          <w:lang w:val="en-US"/>
          <w:rFonts w:ascii="Times New Roman" w:cs="Times New Roman" w:hAnsi="Times New Roman"/>
          <w:sz w:val="22"/>
          <w:szCs w:val="22"/>
        </w:rPr>
        <w:t>s</w:t>
      </w:r>
      <w:r w:rsidRPr="00790C25">
        <w:rPr>
          <w:rFonts w:ascii="Times New Roman" w:cs="Times New Roman" w:hAnsi="Times New Roman"/>
          <w:sz w:val="22"/>
          <w:szCs w:val="22"/>
        </w:rPr>
        <w:t xml:space="preserve"> population from supply and only license to a few very specific manufacturers. Why is it that no one knows the full terms of the license?</w:t>
      </w:r>
    </w:p>
    <w:p w:rsidR="00790C25" w:rsidRDefault="00790C25" w14:paraId="7EE88275" w14:textId="77777777" w:rsidP="00790C25" w:rsidRPr="00790C25">
      <w:pPr>
        <w:jc w:val="both"/>
        <w:spacing w:line="276" w:lineRule="auto"/>
        <w:rPr>
          <w:rFonts w:ascii="Times New Roman" w:cs="Times New Roman" w:hAnsi="Times New Roman"/>
          <w:sz w:val="22"/>
          <w:szCs w:val="22"/>
        </w:rPr>
      </w:pPr>
    </w:p>
    <w:p w:rsidR="00790C25" w:rsidRDefault="00790C25" w14:paraId="38E1CB19" w14:textId="7F913817" w:rsidP="00790C25" w:rsidRPr="00790C25">
      <w:pPr>
        <w:jc w:val="both"/>
        <w:spacing w:line="276" w:lineRule="auto"/>
        <w:rPr>
          <w:rFonts w:ascii="Times New Roman" w:cs="Times New Roman" w:hAnsi="Times New Roman"/>
          <w:sz w:val="22"/>
          <w:szCs w:val="22"/>
        </w:rPr>
      </w:pPr>
      <w:r w:rsidRPr="00790C25">
        <w:rPr>
          <w:rFonts w:ascii="Times New Roman" w:cs="Times New Roman" w:hAnsi="Times New Roman"/>
          <w:sz w:val="22"/>
          <w:szCs w:val="22"/>
        </w:rPr>
        <w:t>– If VL mechanisms work, can they provide full details of all voluntary licenses signed with companies all over the world to scale-up manufacturing and for global supply that have been signed by Pfizer/BioNtech and Moderna with respect to their vaccines, and the therapeutics of Regeneron and Eli Lily that recently received emergency approval in the US. We would like to know the full terms of the license</w:t>
      </w:r>
      <w:r w:rsidR="00BC7911">
        <w:rPr>
          <w:lang w:val="en-US"/>
          <w:rFonts w:ascii="Times New Roman" w:cs="Times New Roman" w:hAnsi="Times New Roman"/>
          <w:sz w:val="22"/>
          <w:szCs w:val="22"/>
        </w:rPr>
        <w:t>s</w:t>
      </w:r>
      <w:r w:rsidRPr="00790C25">
        <w:rPr>
          <w:rFonts w:ascii="Times New Roman" w:cs="Times New Roman" w:hAnsi="Times New Roman"/>
          <w:sz w:val="22"/>
          <w:szCs w:val="22"/>
        </w:rPr>
        <w:t xml:space="preserve">, with whom these licenses have been signed, which countries will be supplied, when will they be supplied etc. </w:t>
      </w:r>
    </w:p>
    <w:p w:rsidR="00790C25" w:rsidRDefault="00790C25" w14:paraId="49395D04" w14:textId="77777777" w:rsidP="00790C25" w:rsidRPr="00790C25">
      <w:pPr>
        <w:jc w:val="both"/>
        <w:spacing w:line="276" w:lineRule="auto"/>
        <w:rPr>
          <w:rFonts w:ascii="Times New Roman" w:cs="Times New Roman" w:hAnsi="Times New Roman"/>
          <w:sz w:val="22"/>
          <w:szCs w:val="22"/>
        </w:rPr>
      </w:pPr>
    </w:p>
    <w:p w:rsidR="00790C25" w:rsidRDefault="00790C25" w14:paraId="38B2419D" w14:textId="0CC12F17" w:rsidP="00790C25" w:rsidRPr="00790C25">
      <w:pPr>
        <w:jc w:val="both"/>
        <w:spacing w:line="276" w:lineRule="auto"/>
        <w:rPr>
          <w:rFonts w:ascii="Times New Roman" w:cs="Times New Roman" w:hAnsi="Times New Roman"/>
          <w:sz w:val="22"/>
          <w:szCs w:val="22"/>
        </w:rPr>
      </w:pPr>
      <w:r w:rsidRPr="00790C25">
        <w:rPr>
          <w:rFonts w:ascii="Times New Roman" w:cs="Times New Roman" w:hAnsi="Times New Roman"/>
          <w:sz w:val="22"/>
          <w:szCs w:val="22"/>
        </w:rPr>
        <w:t xml:space="preserve">-If VL mechanism works then why was Oxford/Astra Zeneca license </w:t>
      </w:r>
      <w:r w:rsidR="00BC7911">
        <w:rPr>
          <w:lang w:val="en-US"/>
          <w:rFonts w:ascii="Times New Roman" w:cs="Times New Roman" w:hAnsi="Times New Roman"/>
          <w:sz w:val="22"/>
          <w:szCs w:val="22"/>
        </w:rPr>
        <w:t xml:space="preserve">to </w:t>
      </w:r>
      <w:r w:rsidRPr="00790C25">
        <w:rPr>
          <w:rFonts w:ascii="Times New Roman" w:cs="Times New Roman" w:hAnsi="Times New Roman"/>
          <w:sz w:val="22"/>
          <w:szCs w:val="22"/>
        </w:rPr>
        <w:t xml:space="preserve">the COVISHIELD vaccine </w:t>
      </w:r>
      <w:r w:rsidR="00BC7911">
        <w:rPr>
          <w:lang w:val="en-US"/>
          <w:rFonts w:ascii="Times New Roman" w:cs="Times New Roman" w:hAnsi="Times New Roman"/>
          <w:sz w:val="22"/>
          <w:szCs w:val="22"/>
        </w:rPr>
        <w:t xml:space="preserve">assigned only </w:t>
      </w:r>
      <w:r w:rsidRPr="00790C25">
        <w:rPr>
          <w:rFonts w:ascii="Times New Roman" w:cs="Times New Roman" w:hAnsi="Times New Roman"/>
          <w:sz w:val="22"/>
          <w:szCs w:val="22"/>
        </w:rPr>
        <w:t xml:space="preserve">to one company in India and public sector manufacturer in Brazil when licenses and tech transfer to any manufacturer who has technical capacity could have been offered? </w:t>
      </w:r>
    </w:p>
    <w:p w:rsidR="00790C25" w:rsidRDefault="00790C25" w14:paraId="298BF1BD" w14:textId="77777777" w:rsidP="00790C25" w:rsidRPr="00790C25">
      <w:pPr>
        <w:jc w:val="both"/>
        <w:spacing w:line="276" w:lineRule="auto"/>
        <w:rPr>
          <w:rFonts w:ascii="Times New Roman" w:cs="Times New Roman" w:hAnsi="Times New Roman"/>
          <w:sz w:val="22"/>
          <w:szCs w:val="22"/>
        </w:rPr>
      </w:pPr>
    </w:p>
    <w:p w:rsidR="00790C25" w:rsidRDefault="00790C25" w14:paraId="78C5A0FF" w14:textId="17FBB36E" w:rsidP="00790C25" w:rsidRPr="00790C25">
      <w:pPr>
        <w:jc w:val="both"/>
        <w:spacing w:line="276" w:lineRule="auto"/>
        <w:rPr>
          <w:lang w:val="en-US"/>
          <w:rFonts w:ascii="Times New Roman" w:cs="Times New Roman" w:hAnsi="Times New Roman"/>
          <w:sz w:val="22"/>
          <w:szCs w:val="22"/>
        </w:rPr>
      </w:pPr>
      <w:r w:rsidRPr="00790C25">
        <w:rPr>
          <w:rFonts w:ascii="Times New Roman" w:cs="Times New Roman" w:hAnsi="Times New Roman"/>
          <w:sz w:val="22"/>
          <w:szCs w:val="22"/>
        </w:rPr>
        <w:t>-If VL works then why are there geographical restrictions in the VL to limit supply to only to low- and middle-income countries (LMICs) under the agreements, excluding supply to other developing countries?</w:t>
      </w:r>
      <w:r w:rsidR="00CF5F3C">
        <w:rPr>
          <w:lang w:val="en-US"/>
          <w:rFonts w:ascii="Times New Roman" w:cs="Times New Roman" w:hAnsi="Times New Roman"/>
          <w:sz w:val="22"/>
          <w:szCs w:val="22"/>
        </w:rPr>
        <w:t xml:space="preserve"> Taking note that the issue of classification of countries based on singular criteria such as per capita GDP ignores the deep and persistent structural deficits between developed and developing countries.  </w:t>
      </w:r>
    </w:p>
    <w:p w:rsidR="00790C25" w:rsidRDefault="00790C25" w14:paraId="50BE3F76" w14:textId="77777777" w:rsidP="00790C25" w:rsidRPr="00790C25">
      <w:pPr>
        <w:jc w:val="both"/>
        <w:spacing w:line="276" w:lineRule="auto"/>
        <w:rPr>
          <w:rFonts w:ascii="Times New Roman" w:cs="Times New Roman" w:hAnsi="Times New Roman"/>
          <w:sz w:val="22"/>
          <w:szCs w:val="22"/>
        </w:rPr>
      </w:pPr>
    </w:p>
    <w:p w:rsidR="00790C25" w:rsidRDefault="00790C25" w14:paraId="2D957034" w14:textId="75A1EB89" w:rsidP="00790C25" w:rsidRPr="00790C25">
      <w:pPr>
        <w:jc w:val="both"/>
        <w:spacing w:line="276" w:lineRule="auto"/>
        <w:rPr>
          <w:rFonts w:ascii="Times New Roman" w:cs="Times New Roman" w:hAnsi="Times New Roman"/>
          <w:sz w:val="22"/>
          <w:szCs w:val="22"/>
        </w:rPr>
      </w:pPr>
      <w:r w:rsidRPr="00790C25">
        <w:rPr>
          <w:rFonts w:ascii="Times New Roman" w:cs="Times New Roman" w:hAnsi="Times New Roman"/>
          <w:sz w:val="22"/>
          <w:szCs w:val="22"/>
        </w:rPr>
        <w:t>Some delegates (e.g., US) asked for data regarding how certain obligations have systematically hindered prevention, treatment, and containment of COVID19 so that a waiver is needed. We consider the discussion of the current proposal is to acknowledge the limitation of the existing legal options and to provide additional flexibility at the international level. We have presented the examples and indications sufficient for members to consider endorsing the waiver proposal</w:t>
      </w:r>
      <w:r w:rsidR="00A21AE6">
        <w:rPr>
          <w:lang w:val="en-US"/>
          <w:rFonts w:ascii="Times New Roman" w:cs="Times New Roman" w:hAnsi="Times New Roman"/>
          <w:sz w:val="22"/>
          <w:szCs w:val="22"/>
        </w:rPr>
        <w:t>, including illustrative examples as per our earlies interventions</w:t>
      </w:r>
      <w:r w:rsidR="00CF5F3C">
        <w:rPr>
          <w:lang w:val="en-US"/>
          <w:rFonts w:ascii="Times New Roman" w:cs="Times New Roman" w:hAnsi="Times New Roman"/>
          <w:sz w:val="22"/>
          <w:szCs w:val="22"/>
        </w:rPr>
        <w:t>, and would like to thank Indonesia for sharing its national experiences in this regard – we call on other members to do the same</w:t>
      </w:r>
      <w:r w:rsidRPr="00790C25">
        <w:rPr>
          <w:rFonts w:ascii="Times New Roman" w:cs="Times New Roman" w:hAnsi="Times New Roman"/>
          <w:sz w:val="22"/>
          <w:szCs w:val="22"/>
        </w:rPr>
        <w:t xml:space="preserve">. Improving the readiness of law can be done based on due consideration of the probabilities of events. This has been reflected by a few members who quickly amended domestic laws to get ready based on </w:t>
      </w:r>
      <w:r w:rsidR="00A21AE6">
        <w:rPr>
          <w:lang w:val="en-US"/>
          <w:rFonts w:ascii="Times New Roman" w:cs="Times New Roman" w:hAnsi="Times New Roman"/>
          <w:sz w:val="22"/>
          <w:szCs w:val="22"/>
        </w:rPr>
        <w:t xml:space="preserve">such </w:t>
      </w:r>
      <w:r w:rsidRPr="00790C25">
        <w:rPr>
          <w:rFonts w:ascii="Times New Roman" w:cs="Times New Roman" w:hAnsi="Times New Roman"/>
          <w:sz w:val="22"/>
          <w:szCs w:val="22"/>
        </w:rPr>
        <w:t xml:space="preserve">probabilities. </w:t>
      </w:r>
      <w:r w:rsidR="00CF5F3C" w:rsidRPr="00CF5F3C">
        <w:rPr>
          <w:lang w:val="en-US"/>
          <w:u w:val="single"/>
          <w:rFonts w:ascii="Times New Roman" w:cs="Times New Roman" w:hAnsi="Times New Roman"/>
          <w:sz w:val="22"/>
          <w:szCs w:val="22"/>
        </w:rPr>
        <w:t>W</w:t>
      </w:r>
      <w:r w:rsidRPr="00790C25">
        <w:rPr>
          <w:u w:val="single"/>
          <w:rFonts w:ascii="Times New Roman" w:cs="Times New Roman" w:hAnsi="Times New Roman"/>
          <w:sz w:val="22"/>
          <w:szCs w:val="22"/>
        </w:rPr>
        <w:t xml:space="preserve">e would like to ask Canada, Germany and Hungary, when </w:t>
      </w:r>
      <w:r w:rsidR="00CF5F3C" w:rsidRPr="00CF5F3C">
        <w:rPr>
          <w:lang w:val="en-US"/>
          <w:u w:val="single"/>
          <w:rFonts w:ascii="Times New Roman" w:cs="Times New Roman" w:hAnsi="Times New Roman"/>
          <w:sz w:val="22"/>
          <w:szCs w:val="22"/>
        </w:rPr>
        <w:t>they</w:t>
      </w:r>
      <w:r w:rsidRPr="00790C25">
        <w:rPr>
          <w:u w:val="single"/>
          <w:rFonts w:ascii="Times New Roman" w:cs="Times New Roman" w:hAnsi="Times New Roman"/>
          <w:sz w:val="22"/>
          <w:szCs w:val="22"/>
        </w:rPr>
        <w:t xml:space="preserve"> decided to swiftly amend national laws to enable quicker use of compulsory license,</w:t>
      </w:r>
      <w:r w:rsidRPr="00790C25">
        <w:rPr>
          <w:bCs/>
          <w:b/>
          <w:u w:val="single"/>
          <w:rFonts w:ascii="Times New Roman" w:cs="Times New Roman" w:hAnsi="Times New Roman"/>
          <w:sz w:val="22"/>
          <w:szCs w:val="22"/>
        </w:rPr>
        <w:t xml:space="preserve"> what kind of data </w:t>
      </w:r>
      <w:r w:rsidR="00CF5F3C">
        <w:rPr>
          <w:bCs/>
          <w:lang w:val="en-US"/>
          <w:b/>
          <w:u w:val="single"/>
          <w:rFonts w:ascii="Times New Roman" w:cs="Times New Roman" w:hAnsi="Times New Roman"/>
          <w:sz w:val="22"/>
          <w:szCs w:val="22"/>
        </w:rPr>
        <w:t>was</w:t>
      </w:r>
      <w:r w:rsidRPr="00790C25">
        <w:rPr>
          <w:bCs/>
          <w:b/>
          <w:u w:val="single"/>
          <w:rFonts w:ascii="Times New Roman" w:cs="Times New Roman" w:hAnsi="Times New Roman"/>
          <w:sz w:val="22"/>
          <w:szCs w:val="22"/>
        </w:rPr>
        <w:t xml:space="preserve"> relied upon at that time </w:t>
      </w:r>
      <w:r w:rsidR="00CF5F3C">
        <w:rPr>
          <w:bCs/>
          <w:lang w:val="en-US"/>
          <w:b/>
          <w:u w:val="single"/>
          <w:rFonts w:ascii="Times New Roman" w:cs="Times New Roman" w:hAnsi="Times New Roman"/>
          <w:sz w:val="22"/>
          <w:szCs w:val="22"/>
        </w:rPr>
        <w:t xml:space="preserve">- </w:t>
      </w:r>
      <w:r w:rsidRPr="00790C25">
        <w:rPr>
          <w:bCs/>
          <w:b/>
          <w:u w:val="single"/>
          <w:rFonts w:ascii="Times New Roman" w:cs="Times New Roman" w:hAnsi="Times New Roman"/>
          <w:sz w:val="22"/>
          <w:szCs w:val="22"/>
        </w:rPr>
        <w:t>demonstrating the necessity of revising the law</w:t>
      </w:r>
      <w:r w:rsidR="00CF5F3C">
        <w:rPr>
          <w:bCs/>
          <w:lang w:val="en-US"/>
          <w:b/>
          <w:u w:val="single"/>
          <w:rFonts w:ascii="Times New Roman" w:cs="Times New Roman" w:hAnsi="Times New Roman"/>
          <w:sz w:val="22"/>
          <w:szCs w:val="22"/>
        </w:rPr>
        <w:t>s</w:t>
      </w:r>
      <w:r w:rsidRPr="00790C25">
        <w:rPr>
          <w:bCs/>
          <w:b/>
          <w:u w:val="single"/>
          <w:rFonts w:ascii="Times New Roman" w:cs="Times New Roman" w:hAnsi="Times New Roman"/>
          <w:sz w:val="22"/>
          <w:szCs w:val="22"/>
        </w:rPr>
        <w:t>?</w:t>
      </w:r>
      <w:r w:rsidR="00A21AE6" w:rsidRPr="00A21AE6">
        <w:rPr>
          <w:bCs/>
          <w:lang w:val="en-US"/>
          <w:b/>
          <w:u w:val="single"/>
          <w:rFonts w:ascii="Times New Roman" w:cs="Times New Roman" w:hAnsi="Times New Roman"/>
          <w:sz w:val="22"/>
          <w:szCs w:val="22"/>
        </w:rPr>
        <w:t xml:space="preserve"> [we refer to the Secretariat note and compilation of COVID-19 me</w:t>
      </w:r>
      <w:r w:rsidR="00BC7911">
        <w:rPr>
          <w:bCs/>
          <w:lang w:val="en-US"/>
          <w:b/>
          <w:u w:val="single"/>
          <w:rFonts w:ascii="Times New Roman" w:cs="Times New Roman" w:hAnsi="Times New Roman"/>
          <w:sz w:val="22"/>
          <w:szCs w:val="22"/>
        </w:rPr>
        <w:t>a</w:t>
      </w:r>
      <w:r w:rsidR="00A21AE6" w:rsidRPr="00A21AE6">
        <w:rPr>
          <w:bCs/>
          <w:lang w:val="en-US"/>
          <w:b/>
          <w:u w:val="single"/>
          <w:rFonts w:ascii="Times New Roman" w:cs="Times New Roman" w:hAnsi="Times New Roman"/>
          <w:sz w:val="22"/>
          <w:szCs w:val="22"/>
        </w:rPr>
        <w:t>sures.]</w:t>
      </w:r>
      <w:r w:rsidRPr="00790C25">
        <w:rPr>
          <w:rFonts w:ascii="Times New Roman" w:cs="Times New Roman" w:hAnsi="Times New Roman"/>
          <w:sz w:val="22"/>
          <w:szCs w:val="22"/>
        </w:rPr>
        <w:t> </w:t>
      </w:r>
    </w:p>
    <w:p w:rsidR="00790C25" w:rsidRDefault="00790C25" w14:paraId="58FE48AA" w14:textId="77777777" w:rsidP="00790C25" w:rsidRPr="00790C25">
      <w:pPr>
        <w:jc w:val="both"/>
        <w:spacing w:line="276" w:lineRule="auto"/>
        <w:rPr>
          <w:rFonts w:ascii="Times New Roman" w:cs="Times New Roman" w:hAnsi="Times New Roman"/>
          <w:sz w:val="22"/>
          <w:szCs w:val="22"/>
        </w:rPr>
      </w:pPr>
    </w:p>
    <w:p w:rsidR="00790C25" w:rsidRDefault="00790C25" w14:paraId="2E36906E" w14:textId="3EF67FF7" w:rsidP="00790C25" w:rsidRPr="00790C25">
      <w:pPr>
        <w:jc w:val="both"/>
        <w:spacing w:line="276" w:lineRule="auto"/>
        <w:rPr>
          <w:lang w:val="en-US"/>
          <w:rFonts w:ascii="Times New Roman" w:cs="Times New Roman" w:hAnsi="Times New Roman"/>
          <w:sz w:val="22"/>
          <w:szCs w:val="22"/>
        </w:rPr>
      </w:pPr>
      <w:r w:rsidRPr="00790C25">
        <w:rPr>
          <w:rFonts w:ascii="Times New Roman" w:cs="Times New Roman" w:hAnsi="Times New Roman"/>
          <w:sz w:val="22"/>
          <w:szCs w:val="22"/>
        </w:rPr>
        <w:t xml:space="preserve">TRIPS flexibilities are important to increase access to medicines and other medical product not just in a pandemic. Why </w:t>
      </w:r>
      <w:r>
        <w:rPr>
          <w:lang w:val="en-US"/>
          <w:rFonts w:ascii="Times New Roman" w:cs="Times New Roman" w:hAnsi="Times New Roman"/>
          <w:sz w:val="22"/>
          <w:szCs w:val="22"/>
        </w:rPr>
        <w:t xml:space="preserve">has </w:t>
      </w:r>
      <w:r w:rsidRPr="00790C25">
        <w:rPr>
          <w:rFonts w:ascii="Times New Roman" w:cs="Times New Roman" w:hAnsi="Times New Roman"/>
          <w:sz w:val="22"/>
          <w:szCs w:val="22"/>
        </w:rPr>
        <w:t>pressure  been applied on developing countries for implementing and supporting public</w:t>
      </w:r>
      <w:r w:rsidR="00A21AE6">
        <w:rPr>
          <w:lang w:val="en-US"/>
          <w:rFonts w:ascii="Times New Roman" w:cs="Times New Roman" w:hAnsi="Times New Roman"/>
          <w:sz w:val="22"/>
          <w:szCs w:val="22"/>
        </w:rPr>
        <w:t xml:space="preserve"> </w:t>
      </w:r>
      <w:r w:rsidRPr="00790C25">
        <w:rPr>
          <w:rFonts w:ascii="Times New Roman" w:cs="Times New Roman" w:hAnsi="Times New Roman"/>
          <w:sz w:val="22"/>
          <w:szCs w:val="22"/>
        </w:rPr>
        <w:t>health safeguards in their intellectual property laws and policies  under </w:t>
      </w:r>
      <w:hyperlink w:history="1" r:id="rId8">
        <w:r w:rsidRPr="00790C25">
          <w:rPr>
            <w:rFonts w:ascii="Times New Roman" w:cs="Times New Roman" w:hAnsi="Times New Roman"/>
            <w:sz w:val="22"/>
            <w:szCs w:val="22"/>
          </w:rPr>
          <w:t>EU’s annual IP enforcement report</w:t>
        </w:r>
      </w:hyperlink>
      <w:r w:rsidRPr="00790C25">
        <w:rPr>
          <w:rFonts w:ascii="Times New Roman" w:cs="Times New Roman" w:hAnsi="Times New Roman"/>
          <w:sz w:val="22"/>
          <w:szCs w:val="22"/>
        </w:rPr>
        <w:t> and the annual </w:t>
      </w:r>
      <w:hyperlink w:history="1" w:tgtFrame="_blank" r:id="rId9">
        <w:r w:rsidRPr="00790C25">
          <w:rPr>
            <w:rFonts w:ascii="Times New Roman" w:cs="Times New Roman" w:hAnsi="Times New Roman"/>
            <w:sz w:val="22"/>
            <w:szCs w:val="22"/>
          </w:rPr>
          <w:t>“Special 301 Report”</w:t>
        </w:r>
      </w:hyperlink>
      <w:r w:rsidRPr="00790C25">
        <w:rPr>
          <w:rFonts w:ascii="Times New Roman" w:cs="Times New Roman" w:hAnsi="Times New Roman"/>
          <w:sz w:val="22"/>
          <w:szCs w:val="22"/>
        </w:rPr>
        <w:t>, which was released even amidst the COVID-19 pandemic</w:t>
      </w:r>
      <w:r>
        <w:rPr>
          <w:lang w:val="en-US"/>
          <w:rFonts w:ascii="Times New Roman" w:cs="Times New Roman" w:hAnsi="Times New Roman"/>
          <w:sz w:val="22"/>
          <w:szCs w:val="22"/>
        </w:rPr>
        <w:t>!</w:t>
      </w:r>
    </w:p>
    <w:p w:rsidR="00790C25" w:rsidRDefault="00790C25" w14:paraId="7E4F8A4C" w14:textId="77777777" w:rsidP="00790C25" w:rsidRPr="00790C25">
      <w:pPr>
        <w:jc w:val="both"/>
        <w:spacing w:line="276" w:lineRule="auto"/>
        <w:rPr>
          <w:rFonts w:ascii="Times New Roman" w:cs="Times New Roman" w:hAnsi="Times New Roman"/>
          <w:sz w:val="22"/>
          <w:szCs w:val="22"/>
        </w:rPr>
      </w:pPr>
    </w:p>
    <w:p w:rsidR="00790C25" w:rsidRDefault="00790C25" w14:paraId="4C798A9B" w14:textId="119806B7" w:rsidP="00790C25" w:rsidRPr="00790C25">
      <w:pPr>
        <w:jc w:val="both"/>
        <w:spacing w:line="276" w:lineRule="auto"/>
        <w:rPr>
          <w:bCs/>
          <w:b/>
          <w:u w:val="single"/>
          <w:rFonts w:ascii="Times New Roman" w:cs="Times New Roman" w:hAnsi="Times New Roman"/>
          <w:sz w:val="22"/>
          <w:szCs w:val="22"/>
        </w:rPr>
      </w:pPr>
      <w:r w:rsidRPr="00790C25">
        <w:rPr>
          <w:rFonts w:ascii="Times New Roman" w:cs="Times New Roman" w:hAnsi="Times New Roman"/>
          <w:sz w:val="22"/>
          <w:szCs w:val="22"/>
        </w:rPr>
        <w:t xml:space="preserve">Several delegations highlight TRIPS flexibilities, particularly compulsory license under Art 31 and Art 31bis, as important and need to be used. We recalled how developing countries have been under pressures and discouraged from using those flexibilities for a long time. </w:t>
      </w:r>
      <w:r>
        <w:rPr>
          <w:lang w:val="en-US"/>
          <w:rFonts w:ascii="Times New Roman" w:cs="Times New Roman" w:hAnsi="Times New Roman"/>
          <w:sz w:val="22"/>
          <w:szCs w:val="22"/>
        </w:rPr>
        <w:t>The</w:t>
      </w:r>
      <w:r w:rsidRPr="00790C25">
        <w:rPr>
          <w:rFonts w:ascii="Times New Roman" w:cs="Times New Roman" w:hAnsi="Times New Roman"/>
          <w:sz w:val="22"/>
          <w:szCs w:val="22"/>
        </w:rPr>
        <w:t xml:space="preserve"> EU and Switzerland both highlight the flexibilities as the key measures for members to use, does it mean the EU and Switzerland will from now </w:t>
      </w:r>
      <w:r w:rsidRPr="00790C25">
        <w:rPr>
          <w:bCs/>
          <w:b/>
          <w:u w:val="single"/>
          <w:rFonts w:ascii="Times New Roman" w:cs="Times New Roman" w:hAnsi="Times New Roman"/>
          <w:sz w:val="22"/>
          <w:szCs w:val="22"/>
        </w:rPr>
        <w:t>on commit not to pressure developing countries when they improve their laws on compulsory license and other TRIPS flexibilities or make use of compulsory license? Would the European Commission from now on exclude compulsory license and other TRIPS flexibilities from its IP enforcement report? Would the USTR do the same to its Special 301 report? </w:t>
      </w:r>
    </w:p>
    <w:p w:rsidR="00790C25" w:rsidRDefault="00790C25" w14:paraId="6DC74608" w14:textId="77777777" w:rsidP="00790C25" w:rsidRPr="00790C25">
      <w:pPr>
        <w:jc w:val="both"/>
        <w:spacing w:line="276" w:lineRule="auto"/>
        <w:rPr>
          <w:rFonts w:ascii="Times New Roman" w:cs="Times New Roman" w:hAnsi="Times New Roman"/>
          <w:sz w:val="22"/>
          <w:szCs w:val="22"/>
        </w:rPr>
      </w:pPr>
    </w:p>
    <w:p w:rsidR="00B13F60" w:rsidRDefault="00790C25" w14:paraId="7553E3CB" w14:textId="09D83785" w:rsidP="00AE136F" w:rsidRPr="00B13F60">
      <w:pPr>
        <w:jc w:val="both"/>
        <w:spacing w:line="276" w:lineRule="auto"/>
        <w:rPr>
          <w:rFonts w:ascii="Times New Roman" w:cs="Times New Roman" w:hAnsi="Times New Roman"/>
          <w:sz w:val="22"/>
          <w:szCs w:val="22"/>
        </w:rPr>
      </w:pPr>
      <w:r w:rsidRPr="00790C25">
        <w:rPr>
          <w:rFonts w:ascii="Times New Roman" w:cs="Times New Roman" w:hAnsi="Times New Roman"/>
          <w:sz w:val="22"/>
          <w:szCs w:val="22"/>
        </w:rPr>
        <w:t xml:space="preserve">We notice the recent IP action plan and pharmaceutical strategy published by the European Commission </w:t>
      </w:r>
      <w:r w:rsidR="00762C51">
        <w:rPr>
          <w:lang w:val="en-US"/>
          <w:rFonts w:ascii="Times New Roman" w:cs="Times New Roman" w:hAnsi="Times New Roman"/>
          <w:sz w:val="22"/>
          <w:szCs w:val="22"/>
        </w:rPr>
        <w:t xml:space="preserve">which </w:t>
      </w:r>
      <w:r w:rsidRPr="00790C25">
        <w:rPr>
          <w:rFonts w:ascii="Times New Roman" w:cs="Times New Roman" w:hAnsi="Times New Roman"/>
          <w:sz w:val="22"/>
          <w:szCs w:val="22"/>
        </w:rPr>
        <w:t xml:space="preserve">urges EU members to use fast track compulsory license and explore coordinated compulsory license in EU. </w:t>
      </w:r>
      <w:r w:rsidR="00B13F60" w:rsidRPr="00B13F60">
        <w:rPr>
          <w:rFonts w:ascii="Times New Roman" w:cs="Times New Roman" w:hAnsi="Times New Roman"/>
          <w:sz w:val="22"/>
          <w:szCs w:val="22"/>
        </w:rPr>
        <w:t xml:space="preserve">In launching the </w:t>
      </w:r>
      <w:r w:rsidR="00B13F60" w:rsidRPr="00762C51">
        <w:rPr>
          <w:iCs/>
          <w:i/>
          <w:rFonts w:ascii="Times New Roman" w:cs="Times New Roman" w:hAnsi="Times New Roman"/>
          <w:sz w:val="22"/>
          <w:szCs w:val="22"/>
        </w:rPr>
        <w:t>Pharmaceutical Strategy for Europe</w:t>
      </w:r>
      <w:r w:rsidR="00B13F60" w:rsidRPr="00B13F60">
        <w:rPr>
          <w:rFonts w:ascii="Times New Roman" w:cs="Times New Roman" w:hAnsi="Times New Roman"/>
          <w:sz w:val="22"/>
          <w:szCs w:val="22"/>
        </w:rPr>
        <w:t>, Vice President Schinas underscored the importance that the transparency of R&amp;D costs plays in ensuring access to affordable medicines.</w:t>
      </w:r>
      <w:r w:rsidR="00AE136F">
        <w:rPr>
          <w:rStyle w:val="FootnoteReference"/>
          <w:rFonts w:ascii="Times New Roman" w:cs="Times New Roman" w:hAnsi="Times New Roman"/>
          <w:sz w:val="22"/>
          <w:szCs w:val="22"/>
        </w:rPr>
        <w:footnoteReference w:id="1"/>
      </w:r>
      <w:r w:rsidR="00B13F60" w:rsidRPr="00B13F60">
        <w:rPr>
          <w:rFonts w:ascii="Times New Roman" w:cs="Times New Roman" w:hAnsi="Times New Roman"/>
          <w:sz w:val="22"/>
          <w:szCs w:val="22"/>
        </w:rPr>
        <w:t xml:space="preserve"> In his remarks to the press on 25 November 2020, Vice- </w:t>
      </w:r>
      <w:r w:rsidR="00762C51">
        <w:rPr>
          <w:lang w:val="en-US"/>
          <w:rFonts w:ascii="Times New Roman" w:cs="Times New Roman" w:hAnsi="Times New Roman"/>
          <w:sz w:val="22"/>
          <w:szCs w:val="22"/>
        </w:rPr>
        <w:t>p</w:t>
      </w:r>
      <w:r w:rsidR="00B13F60" w:rsidRPr="00B13F60">
        <w:rPr>
          <w:rFonts w:ascii="Times New Roman" w:cs="Times New Roman" w:hAnsi="Times New Roman"/>
          <w:sz w:val="22"/>
          <w:szCs w:val="22"/>
        </w:rPr>
        <w:t>resident Schinas said, </w:t>
      </w:r>
    </w:p>
    <w:p w:rsidR="00B13F60" w:rsidRDefault="00B13F60" w14:paraId="2E56E0C7" w14:textId="569BDC25" w:rsidP="00AE136F" w:rsidRPr="00B13F60">
      <w:pPr>
        <w:jc w:val="both"/>
        <w:rPr>
          <w:rFonts w:ascii="Times New Roman" w:cs="Times New Roman" w:hAnsi="Times New Roman"/>
          <w:sz w:val="22"/>
          <w:szCs w:val="22"/>
        </w:rPr>
      </w:pPr>
      <w:r w:rsidRPr="00B13F60">
        <w:rPr>
          <w:rFonts w:ascii="Times New Roman" w:cs="Times New Roman" w:hAnsi="Times New Roman"/>
          <w:sz w:val="22"/>
          <w:szCs w:val="22"/>
        </w:rPr>
        <w:t>"</w:t>
      </w:r>
      <w:r w:rsidRPr="00AE136F">
        <w:rPr>
          <w:iCs/>
          <w:i/>
          <w:rFonts w:ascii="Times New Roman" w:cs="Times New Roman" w:hAnsi="Times New Roman"/>
          <w:sz w:val="22"/>
          <w:szCs w:val="22"/>
        </w:rPr>
        <w:t>Equally important, ensuring affordability of medicines will be guaranteed through bolstering transparency on R&amp;D costs and expenditure on medicines in healthcare systems, finding a consensus on costing principles and addressing aspects that impede the competitive functioning of the markets impacting on affordability</w:t>
      </w:r>
      <w:r w:rsidRPr="00B13F60">
        <w:rPr>
          <w:rFonts w:ascii="Times New Roman" w:cs="Times New Roman" w:hAnsi="Times New Roman"/>
          <w:sz w:val="22"/>
          <w:szCs w:val="22"/>
        </w:rPr>
        <w:t>."</w:t>
      </w:r>
    </w:p>
    <w:p w:rsidR="00B13F60" w:rsidRDefault="00B13F60" w14:paraId="55F9F9D9" w14:textId="77777777" w:rsidP="00B13F60" w:rsidRPr="00B13F60">
      <w:pPr>
        <w:rPr>
          <w:rFonts w:ascii="Times New Roman" w:cs="Times New Roman" w:hAnsi="Times New Roman"/>
          <w:sz w:val="22"/>
          <w:szCs w:val="22"/>
        </w:rPr>
      </w:pPr>
    </w:p>
    <w:p w:rsidR="00B13F60" w:rsidRDefault="00B13F60" w14:paraId="71F2E594" w14:textId="77777777" w:rsidP="00AE136F" w:rsidRPr="00B13F60">
      <w:pPr>
        <w:jc w:val="both"/>
        <w:rPr>
          <w:rFonts w:ascii="Times New Roman" w:cs="Times New Roman" w:hAnsi="Times New Roman"/>
          <w:sz w:val="22"/>
          <w:szCs w:val="22"/>
        </w:rPr>
      </w:pPr>
      <w:r w:rsidRPr="00B13F60">
        <w:rPr>
          <w:rFonts w:ascii="Times New Roman" w:cs="Times New Roman" w:hAnsi="Times New Roman"/>
          <w:sz w:val="22"/>
          <w:szCs w:val="22"/>
        </w:rPr>
        <w:t>This principle resonates well with our submission to the October 2019 TRIPS Council and the WHO Transparency Resolution (WHA72.8). Could the European Union provide more details on how it intends to ensure the "affordability of medicines" through the "bolstering of R&amp;D costs"?</w:t>
      </w:r>
    </w:p>
    <w:p w:rsidR="00B13F60" w:rsidRDefault="00B13F60" w14:paraId="4F7A8164" w14:textId="345956AD" w:rsidP="00AE136F">
      <w:pPr>
        <w:jc w:val="both"/>
        <w:spacing w:line="276" w:lineRule="auto"/>
        <w:rPr>
          <w:rFonts w:ascii="Times New Roman" w:cs="Times New Roman" w:hAnsi="Times New Roman"/>
          <w:sz w:val="22"/>
          <w:szCs w:val="22"/>
        </w:rPr>
      </w:pPr>
    </w:p>
    <w:p w:rsidR="00762C51" w:rsidRDefault="00AE136F" w14:paraId="3F4227BC" w14:textId="77777777" w:rsidP="00AE136F">
      <w:pPr>
        <w:jc w:val="both"/>
        <w:rPr>
          <w:rFonts w:ascii="Times New Roman" w:cs="Times New Roman" w:hAnsi="Times New Roman"/>
          <w:sz w:val="22"/>
          <w:szCs w:val="22"/>
        </w:rPr>
      </w:pPr>
      <w:r w:rsidRPr="00AE136F">
        <w:rPr>
          <w:rFonts w:ascii="Times New Roman" w:cs="Times New Roman" w:hAnsi="Times New Roman"/>
          <w:sz w:val="22"/>
          <w:szCs w:val="22"/>
        </w:rPr>
        <w:t>The EU IP Action Plan, released on 25 November 2020, reiterates the exigent need to deploy COVID-19 technologies, "not only in Europe but also on a global basis."To this end, the EU IP plan calls for "voluntary pooling and licensing of intellectual property related to COVID-19 therapeutics and vaccines, in line with the recent resolution of the World Health Assembly to promote equitable global access as well as a fair return on investment." Can the European Union elucidate further on how they intend to transform this lofty rhetoric into concrete action?  The EU IP Action Plan notes that the Commission is "</w:t>
        <w:lastRenderedPageBreak/>
      </w:r>
      <w:r w:rsidRPr="00AE136F">
        <w:rPr>
          <w:bCs/>
          <w:b/>
          <w:rFonts w:ascii="Times New Roman" w:cs="Times New Roman" w:hAnsi="Times New Roman"/>
          <w:sz w:val="22"/>
          <w:szCs w:val="22"/>
        </w:rPr>
        <w:t>working on mechanisms that would enable and incentivise the rapid pooling of critical IP in times of crisis</w:t>
      </w:r>
      <w:r w:rsidRPr="00AE136F">
        <w:rPr>
          <w:rFonts w:ascii="Times New Roman" w:cs="Times New Roman" w:hAnsi="Times New Roman"/>
          <w:sz w:val="22"/>
          <w:szCs w:val="22"/>
        </w:rPr>
        <w:t>". Could the European Union please explicate on these mechanisms that would enable the "</w:t>
      </w:r>
      <w:r w:rsidRPr="00AE136F">
        <w:rPr>
          <w:u w:val="single"/>
          <w:rFonts w:ascii="Times New Roman" w:cs="Times New Roman" w:hAnsi="Times New Roman"/>
          <w:sz w:val="22"/>
          <w:szCs w:val="22"/>
        </w:rPr>
        <w:t>rapid pooling of critical IP in times of crisis</w:t>
      </w:r>
      <w:r w:rsidRPr="00AE136F">
        <w:rPr>
          <w:rFonts w:ascii="Times New Roman" w:cs="Times New Roman" w:hAnsi="Times New Roman"/>
          <w:sz w:val="22"/>
          <w:szCs w:val="22"/>
        </w:rPr>
        <w:t>."</w:t>
      </w:r>
    </w:p>
    <w:p w:rsidR="00762C51" w:rsidRDefault="00AE136F" w14:paraId="2945ACA6" w14:textId="720E6C6D" w:rsidP="00AE136F" w:rsidRPr="00230476">
      <w:pPr>
        <w:jc w:val="both"/>
        <w:rPr>
          <w:bCs/>
          <w:b/>
          <w:rFonts w:ascii="Times New Roman" w:cs="Times New Roman" w:hAnsi="Times New Roman"/>
          <w:sz w:val="22"/>
          <w:szCs w:val="22"/>
        </w:rPr>
      </w:pPr>
      <w:r>
        <w:rPr>
          <w:rFonts w:ascii="Times New Roman" w:cs="Times New Roman" w:hAnsi="Times New Roman"/>
          <w:sz w:val="22"/>
          <w:szCs w:val="22"/>
        </w:rPr>
        <w:br/>
      </w:r>
      <w:r>
        <w:rPr>
          <w:rFonts w:ascii="Times New Roman" w:cs="Times New Roman" w:hAnsi="Times New Roman"/>
          <w:sz w:val="22"/>
          <w:szCs w:val="22"/>
        </w:rPr>
        <w:br/>
      </w:r>
      <w:r>
        <w:rPr>
          <w:rFonts w:ascii="Times New Roman" w:cs="Times New Roman" w:hAnsi="Times New Roman"/>
          <w:sz w:val="22"/>
          <w:szCs w:val="22"/>
        </w:rPr>
        <w:t>Following on from President Ursula von der Leyen’s State of the Union call for the establishment of an EU BARDA, the EU’s IP action calls for the development of an “</w:t>
      </w:r>
      <w:r w:rsidRPr="00AE136F">
        <w:rPr>
          <w:u w:val="single"/>
          <w:rFonts w:ascii="Times New Roman" w:cs="Times New Roman" w:hAnsi="Times New Roman"/>
          <w:sz w:val="22"/>
          <w:szCs w:val="22"/>
        </w:rPr>
        <w:t>effective framework for march-in rights, that should guarantee that publicly funded IP is available in case of critical shortages</w:t>
      </w:r>
      <w:r w:rsidRPr="00AE136F">
        <w:rPr>
          <w:rFonts w:ascii="Times New Roman" w:cs="Times New Roman" w:hAnsi="Times New Roman"/>
          <w:sz w:val="22"/>
          <w:szCs w:val="22"/>
        </w:rPr>
        <w:t>”. </w:t>
      </w:r>
      <w:r w:rsidRPr="00AE136F">
        <w:rPr>
          <w:bCs/>
          <w:b/>
          <w:rFonts w:ascii="Times New Roman" w:cs="Times New Roman" w:hAnsi="Times New Roman"/>
          <w:sz w:val="22"/>
          <w:szCs w:val="22"/>
        </w:rPr>
        <w:t>Could the European Union please provide details on the design of these march-in rights?</w:t>
      </w:r>
    </w:p>
    <w:p w:rsidR="00AE136F" w:rsidRDefault="00AE136F" w14:paraId="5E881E6E" w14:textId="7F00B49D" w:rsidP="00AE136F" w:rsidRPr="00AE136F">
      <w:pPr>
        <w:jc w:val="both"/>
        <w:rPr>
          <w:rFonts w:ascii="Times New Roman" w:cs="Times New Roman" w:hAnsi="Times New Roman"/>
          <w:sz w:val="22"/>
          <w:szCs w:val="22"/>
        </w:rPr>
      </w:pPr>
      <w:r>
        <w:rPr>
          <w:rFonts w:ascii="Times New Roman" w:cs="Times New Roman" w:hAnsi="Times New Roman"/>
          <w:sz w:val="22"/>
          <w:szCs w:val="22"/>
        </w:rPr>
        <w:br/>
      </w:r>
      <w:r>
        <w:rPr>
          <w:rFonts w:ascii="Times New Roman" w:cs="Times New Roman" w:hAnsi="Times New Roman"/>
          <w:sz w:val="22"/>
          <w:szCs w:val="22"/>
        </w:rPr>
        <w:br/>
      </w:r>
      <w:r>
        <w:rPr>
          <w:rFonts w:ascii="Times New Roman" w:cs="Times New Roman" w:hAnsi="Times New Roman"/>
          <w:sz w:val="22"/>
          <w:szCs w:val="22"/>
        </w:rPr>
        <w:t xml:space="preserve">We would counter the </w:t>
      </w:r>
      <w:r w:rsidR="00762C51">
        <w:rPr>
          <w:lang w:val="en-US"/>
          <w:rFonts w:ascii="Times New Roman" w:cs="Times New Roman" w:hAnsi="Times New Roman"/>
          <w:sz w:val="22"/>
          <w:szCs w:val="22"/>
        </w:rPr>
        <w:t>EU’s</w:t>
      </w:r>
      <w:r w:rsidRPr="00AE136F">
        <w:rPr>
          <w:rFonts w:ascii="Times New Roman" w:cs="Times New Roman" w:hAnsi="Times New Roman"/>
          <w:sz w:val="22"/>
          <w:szCs w:val="22"/>
        </w:rPr>
        <w:t xml:space="preserve"> assertion</w:t>
      </w:r>
      <w:r w:rsidR="00762C51">
        <w:rPr>
          <w:lang w:val="en-US"/>
          <w:rFonts w:ascii="Times New Roman" w:cs="Times New Roman" w:hAnsi="Times New Roman"/>
          <w:sz w:val="22"/>
          <w:szCs w:val="22"/>
        </w:rPr>
        <w:t>, repeated once again today,</w:t>
      </w:r>
      <w:r w:rsidRPr="00AE136F">
        <w:rPr>
          <w:rFonts w:ascii="Times New Roman" w:cs="Times New Roman" w:hAnsi="Times New Roman"/>
          <w:sz w:val="22"/>
          <w:szCs w:val="22"/>
        </w:rPr>
        <w:t xml:space="preserve"> that compulsory licensing should be used as  “</w:t>
      </w:r>
      <w:r w:rsidRPr="00AE136F">
        <w:rPr>
          <w:u w:val="single"/>
          <w:rFonts w:ascii="Times New Roman" w:cs="Times New Roman" w:hAnsi="Times New Roman"/>
          <w:sz w:val="22"/>
          <w:szCs w:val="22"/>
        </w:rPr>
        <w:t>means of last resort and a safety net when all other efforts to make IP available have failed</w:t>
      </w:r>
      <w:r w:rsidRPr="000C2DF1">
        <w:rPr>
          <w:rFonts w:ascii="Times New Roman" w:cs="Times New Roman" w:hAnsi="Times New Roman"/>
          <w:sz w:val="22"/>
          <w:szCs w:val="22"/>
        </w:rPr>
        <w:t>.</w:t>
      </w:r>
      <w:r w:rsidRPr="00AE136F">
        <w:rPr>
          <w:rFonts w:ascii="Times New Roman" w:cs="Times New Roman" w:hAnsi="Times New Roman"/>
          <w:sz w:val="22"/>
          <w:szCs w:val="22"/>
        </w:rPr>
        <w:t>”</w:t>
      </w:r>
      <w:r w:rsidRPr="000C2DF1">
        <w:rPr>
          <w:rFonts w:ascii="Times New Roman" w:cs="Times New Roman" w:hAnsi="Times New Roman"/>
          <w:sz w:val="22"/>
          <w:szCs w:val="22"/>
        </w:rPr>
        <w:t xml:space="preserve"> </w:t>
      </w:r>
      <w:r w:rsidRPr="00AE136F">
        <w:rPr>
          <w:rFonts w:ascii="Times New Roman" w:cs="Times New Roman" w:hAnsi="Times New Roman"/>
          <w:sz w:val="22"/>
          <w:szCs w:val="22"/>
        </w:rPr>
        <w:t xml:space="preserve">Nonetheless, </w:t>
      </w:r>
      <w:r w:rsidRPr="00AE136F">
        <w:rPr>
          <w:bCs/>
          <w:b/>
          <w:rFonts w:ascii="Times New Roman" w:cs="Times New Roman" w:hAnsi="Times New Roman"/>
          <w:sz w:val="22"/>
          <w:szCs w:val="22"/>
        </w:rPr>
        <w:t>could the European Union please provide further details on the EU IP Action Plan's recommendation that EU Member States  "</w:t>
      </w:r>
      <w:r w:rsidRPr="00AE136F">
        <w:rPr>
          <w:bCs/>
          <w:b/>
          <w:u w:val="single"/>
          <w:rFonts w:ascii="Times New Roman" w:cs="Times New Roman" w:hAnsi="Times New Roman"/>
          <w:sz w:val="22"/>
          <w:szCs w:val="22"/>
        </w:rPr>
        <w:t>establish fast-track procedures to issue compulsory licenses in emergency situations</w:t>
      </w:r>
      <w:r w:rsidRPr="00AE136F">
        <w:rPr>
          <w:bCs/>
          <w:b/>
          <w:rFonts w:ascii="Times New Roman" w:cs="Times New Roman" w:hAnsi="Times New Roman"/>
          <w:sz w:val="22"/>
          <w:szCs w:val="22"/>
        </w:rPr>
        <w:t>"?</w:t>
      </w:r>
    </w:p>
    <w:p w:rsidR="00AE136F" w:rsidRDefault="00AE136F" w14:paraId="625EFF84" w14:textId="717D4E88" w:rsidP="00AE136F">
      <w:pPr>
        <w:jc w:val="both"/>
        <w:spacing w:line="276" w:lineRule="auto"/>
        <w:rPr>
          <w:rFonts w:ascii="Times New Roman" w:cs="Times New Roman" w:hAnsi="Times New Roman"/>
          <w:sz w:val="22"/>
          <w:szCs w:val="22"/>
        </w:rPr>
      </w:pPr>
    </w:p>
    <w:p w:rsidR="00AE136F" w:rsidRDefault="00AE136F" w14:paraId="0C8C4E78" w14:textId="75746294" w:rsidP="00AE136F" w:rsidRPr="00AE136F">
      <w:pPr>
        <w:jc w:val="both"/>
        <w:spacing w:line="276" w:lineRule="auto"/>
        <w:rPr>
          <w:rFonts w:ascii="Times New Roman" w:cs="Times New Roman" w:hAnsi="Times New Roman"/>
          <w:sz w:val="22"/>
          <w:szCs w:val="22"/>
        </w:rPr>
      </w:pPr>
      <w:r w:rsidRPr="00AE136F">
        <w:rPr>
          <w:rFonts w:ascii="Times New Roman" w:cs="Times New Roman" w:hAnsi="Times New Roman"/>
          <w:sz w:val="22"/>
          <w:szCs w:val="22"/>
        </w:rPr>
        <w:t>The Commission will explore with Member States the possibility of creating an emergency co-ordination mechanism, to be triggered at short notice when Member States</w:t>
      </w:r>
      <w:r w:rsidR="000C2DF1">
        <w:rPr>
          <w:lang w:val="en-US"/>
          <w:rFonts w:ascii="Times New Roman" w:cs="Times New Roman" w:hAnsi="Times New Roman"/>
          <w:sz w:val="22"/>
          <w:szCs w:val="22"/>
        </w:rPr>
        <w:t xml:space="preserve"> </w:t>
      </w:r>
      <w:r w:rsidRPr="00AE136F">
        <w:rPr>
          <w:rFonts w:ascii="Times New Roman" w:cs="Times New Roman" w:hAnsi="Times New Roman"/>
          <w:sz w:val="22"/>
          <w:szCs w:val="22"/>
        </w:rPr>
        <w:t>consider issuing a compulsory license.</w:t>
      </w:r>
      <w:r>
        <w:rPr>
          <w:lang w:val="en-US"/>
          <w:rFonts w:ascii="Times New Roman" w:cs="Times New Roman" w:hAnsi="Times New Roman"/>
          <w:sz w:val="22"/>
          <w:szCs w:val="22"/>
        </w:rPr>
        <w:t xml:space="preserve"> </w:t>
      </w:r>
      <w:r w:rsidRPr="00AE136F">
        <w:rPr>
          <w:bCs/>
          <w:b/>
          <w:rFonts w:ascii="Times New Roman" w:cs="Times New Roman" w:hAnsi="Times New Roman"/>
          <w:sz w:val="22"/>
          <w:szCs w:val="22"/>
        </w:rPr>
        <w:t>What is the rationale behind this policy decision? </w:t>
      </w:r>
    </w:p>
    <w:p w:rsidR="00AE136F" w:rsidRDefault="00AE136F" w14:paraId="7DAAF6C1" w14:textId="77777777" w:rsidP="00AE136F" w:rsidRPr="00AE136F">
      <w:pPr>
        <w:jc w:val="both"/>
        <w:spacing w:line="276" w:lineRule="auto"/>
        <w:rPr>
          <w:rFonts w:ascii="Times New Roman" w:cs="Times New Roman" w:hAnsi="Times New Roman"/>
          <w:sz w:val="22"/>
          <w:szCs w:val="22"/>
        </w:rPr>
      </w:pPr>
    </w:p>
    <w:p w:rsidR="00AE136F" w:rsidRDefault="00AE136F" w14:paraId="22C94DEA" w14:textId="6DED960F" w:rsidP="00AE136F" w:rsidRPr="00AE136F">
      <w:pPr>
        <w:jc w:val="both"/>
        <w:spacing w:line="276" w:lineRule="auto"/>
        <w:rPr>
          <w:rFonts w:ascii="Times New Roman" w:cs="Times New Roman" w:hAnsi="Times New Roman"/>
          <w:sz w:val="22"/>
          <w:szCs w:val="22"/>
        </w:rPr>
      </w:pPr>
      <w:r w:rsidRPr="00AE136F">
        <w:rPr>
          <w:bCs/>
          <w:b/>
          <w:rFonts w:ascii="Times New Roman" w:cs="Times New Roman" w:hAnsi="Times New Roman"/>
          <w:sz w:val="22"/>
          <w:szCs w:val="22"/>
        </w:rPr>
        <w:t xml:space="preserve">In the European Union, data exclusivity and on certain products market exclusivity are granted. </w:t>
      </w:r>
      <w:r>
        <w:rPr>
          <w:bCs/>
          <w:lang w:val="en-US"/>
          <w:b/>
          <w:rFonts w:ascii="Times New Roman" w:cs="Times New Roman" w:hAnsi="Times New Roman"/>
          <w:sz w:val="22"/>
          <w:szCs w:val="22"/>
        </w:rPr>
        <w:t>H</w:t>
      </w:r>
      <w:r w:rsidRPr="00AE136F">
        <w:rPr>
          <w:bCs/>
          <w:b/>
          <w:rFonts w:ascii="Times New Roman" w:cs="Times New Roman" w:hAnsi="Times New Roman"/>
          <w:sz w:val="22"/>
          <w:szCs w:val="22"/>
        </w:rPr>
        <w:t>ow does the EC want to make effective use of CL in this pandemic with these non-patent barriers in place?</w:t>
      </w:r>
    </w:p>
    <w:p w:rsidR="00AE136F" w:rsidRDefault="00AE136F" w14:paraId="1FBED0F8" w14:textId="77777777" w:rsidP="00AE136F" w:rsidRPr="00AE136F">
      <w:pPr>
        <w:jc w:val="both"/>
        <w:spacing w:line="276" w:lineRule="auto"/>
        <w:rPr>
          <w:rFonts w:ascii="Times New Roman" w:cs="Times New Roman" w:hAnsi="Times New Roman"/>
          <w:sz w:val="22"/>
          <w:szCs w:val="22"/>
        </w:rPr>
      </w:pPr>
    </w:p>
    <w:p w:rsidR="00AE136F" w:rsidRDefault="00AE136F" w14:paraId="76636E17" w14:textId="77777777" w:rsidP="00AE136F" w:rsidRPr="00AE136F">
      <w:pPr>
        <w:jc w:val="both"/>
        <w:spacing w:line="276" w:lineRule="auto"/>
        <w:rPr>
          <w:rFonts w:ascii="Times New Roman" w:cs="Times New Roman" w:hAnsi="Times New Roman"/>
          <w:sz w:val="22"/>
          <w:szCs w:val="22"/>
        </w:rPr>
      </w:pPr>
      <w:r w:rsidRPr="00AE136F">
        <w:rPr>
          <w:rFonts w:ascii="Times New Roman" w:cs="Times New Roman" w:hAnsi="Times New Roman"/>
          <w:sz w:val="22"/>
          <w:szCs w:val="22"/>
        </w:rPr>
        <w:t>As the European Union has opted out of Article 31bis of the TRIPS Agreement, how would EU member states with no or insufficient manufacturing capacities make effective use of the compulsory licensing provisions of the TRIPS Agreement,  especially in light of the IP Action Plan's emphasis on establishing  "fast-track procedures to issue compulsory licenses in emergency situations"?</w:t>
      </w:r>
    </w:p>
    <w:p w:rsidR="00AE136F" w:rsidRDefault="00AE136F" w14:paraId="6F3AA09A" w14:textId="77777777" w:rsidP="00AE136F">
      <w:pPr>
        <w:jc w:val="both"/>
        <w:spacing w:line="276" w:lineRule="auto"/>
        <w:rPr>
          <w:rFonts w:ascii="Times New Roman" w:cs="Times New Roman" w:hAnsi="Times New Roman"/>
          <w:sz w:val="22"/>
          <w:szCs w:val="22"/>
        </w:rPr>
      </w:pPr>
    </w:p>
    <w:p w:rsidR="00B13F60" w:rsidRDefault="00B13F60" w14:paraId="2C71B507" w14:textId="77777777" w:rsidP="00AE136F">
      <w:pPr>
        <w:jc w:val="both"/>
        <w:spacing w:line="276" w:lineRule="auto"/>
        <w:rPr>
          <w:rFonts w:ascii="Times New Roman" w:cs="Times New Roman" w:hAnsi="Times New Roman"/>
          <w:sz w:val="22"/>
          <w:szCs w:val="22"/>
        </w:rPr>
      </w:pPr>
    </w:p>
    <w:p w:rsidR="000C2DF1" w:rsidRDefault="000C2DF1" w14:paraId="36FE6C28" w14:textId="5987FB0B" w:rsidP="00AE136F">
      <w:pPr>
        <w:jc w:val="both"/>
        <w:spacing w:line="276" w:lineRule="auto"/>
        <w:rPr>
          <w:lang w:val="en-US"/>
          <w:rFonts w:ascii="Times New Roman" w:cs="Times New Roman" w:hAnsi="Times New Roman"/>
          <w:sz w:val="22"/>
          <w:szCs w:val="22"/>
        </w:rPr>
      </w:pPr>
    </w:p>
    <w:p w:rsidR="000C2DF1" w:rsidRDefault="000C2DF1" w14:paraId="50B6BDE5" w14:textId="77777777" w:rsidP="00AE136F" w:rsidRPr="00790C25">
      <w:pPr>
        <w:jc w:val="both"/>
        <w:spacing w:line="276" w:lineRule="auto"/>
        <w:rPr>
          <w:lang w:val="en-US"/>
          <w:rFonts w:ascii="Times New Roman" w:cs="Times New Roman" w:hAnsi="Times New Roman"/>
          <w:sz w:val="22"/>
          <w:szCs w:val="22"/>
        </w:rPr>
      </w:pPr>
    </w:p>
    <w:p w:rsidR="00790C25" w:rsidRDefault="00790C25" w14:paraId="39A906C2" w14:textId="77777777" w:rsidP="00790C25" w:rsidRPr="00790C25">
      <w:pPr>
        <w:jc w:val="both"/>
        <w:spacing w:line="276" w:lineRule="auto"/>
        <w:rPr>
          <w:rFonts w:ascii="Times New Roman" w:cs="Times New Roman" w:hAnsi="Times New Roman"/>
          <w:sz w:val="22"/>
          <w:szCs w:val="22"/>
        </w:rPr>
      </w:pPr>
    </w:p>
    <w:p w:rsidR="00790C25" w:rsidRDefault="00790C25" w14:paraId="24750171" w14:textId="77777777" w:rsidP="00790C25" w:rsidRPr="00790C25">
      <w:pPr>
        <w:jc w:val="both"/>
        <w:spacing w:line="276" w:lineRule="auto"/>
        <w:rPr>
          <w:rFonts w:ascii="Times New Roman" w:cs="Times New Roman" w:hAnsi="Times New Roman"/>
          <w:sz w:val="22"/>
          <w:szCs w:val="22"/>
        </w:rPr>
      </w:pPr>
      <w:r w:rsidRPr="00790C25">
        <w:rPr>
          <w:rFonts w:ascii="Times New Roman" w:cs="Times New Roman" w:hAnsi="Times New Roman"/>
          <w:sz w:val="22"/>
          <w:szCs w:val="22"/>
        </w:rPr>
        <w:t> </w:t>
      </w:r>
    </w:p>
    <w:p w:rsidR="00790C25" w:rsidRDefault="00790C25" w14:paraId="37C51209" w14:textId="77777777" w:rsidP="00790C25" w:rsidRPr="00790C25">
      <w:pPr>
        <w:rPr>
          <w:lang w:val="en-GB"/>
        </w:rPr>
      </w:pPr>
    </w:p>
    <w:p w:rsidR="00790C25" w:rsidRDefault="00790C25" w14:paraId="1E51AFC6" w14:textId="77777777" w:rsidP="00790C25" w:rsidRPr="00790C25">
      <w:pPr>
        <w:rPr>
          <w:lang w:val="en-GB"/>
        </w:rPr>
      </w:pPr>
    </w:p>
    <w:p w:rsidR="00790C25" w:rsidRDefault="00790C25" w14:paraId="05BF5E8A" w14:textId="77777777" w:rsidRPr="00F628D0"/>
    <w:sectPr w:rsidR="00790C25" w:rsidRPr="00F628D0">
      <w:docGrid w:linePitch="360"/>
      <w:footerReference r:id="rId11" w:type="default"/>
      <w:footerReference r:id="rId10" w:type="even"/>
      <w:pgSz w:w="11906" w:h="16838"/>
      <w:pgMar w:left="1440" w:right="1440" w:top="1440" w:bottom="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4F36B" w14:textId="77777777" w:rsidR="00551E37" w:rsidRDefault="00551E37" w:rsidP="00740C5C">
      <w:r>
        <w:separator/>
      </w:r>
    </w:p>
  </w:endnote>
  <w:endnote w:type="continuationSeparator" w:id="0">
    <w:p w14:paraId="180C2E74" w14:textId="77777777" w:rsidR="00551E37" w:rsidRDefault="00551E37" w:rsidP="00740C5C">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font w:name="Arial"/>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5899825"/>
      <w:docPartObj>
        <w:docPartGallery w:val="Page Numbers (Bottom of Page)"/>
        <w:docPartUnique/>
      </w:docPartObj>
    </w:sdtPr>
    <w:sdtContent>
      <w:p w14:paraId="2B7E3F57" w14:textId="22256B47" w:rsidR="00740C5C" w:rsidRDefault="00740C5C" w:rsidP="00B530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DBE21D" w14:textId="77777777" w:rsidR="00740C5C" w:rsidRDefault="00740C5C" w:rsidP="00740C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5621520"/>
      <w:docPartObj>
        <w:docPartGallery w:val="Page Numbers (Bottom of Page)"/>
        <w:docPartUnique/>
      </w:docPartObj>
    </w:sdtPr>
    <w:sdtContent>
      <w:p w14:paraId="703688BC" w14:textId="6F2331F7" w:rsidR="00740C5C" w:rsidRDefault="00740C5C" w:rsidP="00B530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FBE2C0" w14:textId="77777777" w:rsidR="00740C5C" w:rsidRDefault="00740C5C" w:rsidP="00740C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07380" w14:textId="77777777" w:rsidR="00551E37" w:rsidRDefault="00551E37" w:rsidP="00740C5C">
      <w:r>
        <w:separator/>
      </w:r>
    </w:p>
  </w:footnote>
  <w:footnote w:type="continuationSeparator" w:id="0">
    <w:p w14:paraId="7CF58378" w14:textId="77777777" w:rsidR="00551E37" w:rsidRDefault="00551E37" w:rsidP="00740C5C">
      <w:r>
        <w:continuationSeparator/>
      </w:r>
    </w:p>
  </w:footnote>
  <w:footnote w:id="1">
    <w:p w14:paraId="66CE5253" w14:textId="27F4309B" w:rsidR="00AE136F" w:rsidRDefault="00AE136F" w:rsidP="00AE136F">
      <w:pPr>
        <w:rPr>
          <w:rFonts w:ascii="Times New Roman" w:hAnsi="Times New Roman" w:cs="Times New Roman"/>
          <w:sz w:val="20"/>
          <w:szCs w:val="20"/>
        </w:rPr>
      </w:pPr>
      <w:r>
        <w:rPr>
          <w:rStyle w:val="FootnoteReference"/>
        </w:rPr>
        <w:footnoteRef/>
      </w:r>
      <w:r>
        <w:t xml:space="preserve"> </w:t>
      </w:r>
      <w:hyperlink r:id="rId1" w:tgtFrame="_blank" w:tooltip="https://ec.europa.eu/commission/presscorner/detail/en/speech_20_2212" w:history="1">
        <w:r w:rsidRPr="00AE136F">
          <w:rPr>
            <w:rFonts w:ascii="Times New Roman" w:hAnsi="Times New Roman" w:cs="Times New Roman"/>
            <w:sz w:val="20"/>
            <w:szCs w:val="20"/>
          </w:rPr>
          <w:t>https://ec.europa.eu/commission/presscorner/detail/en/speech_20_2212</w:t>
        </w:r>
      </w:hyperlink>
    </w:p>
    <w:p w14:paraId="5DF96F04" w14:textId="77777777" w:rsidR="00AE136F" w:rsidRDefault="00AE136F" w:rsidP="00AE136F">
      <w:pPr>
        <w:rPr>
          <w:rFonts w:ascii="Times New Roman" w:hAnsi="Times New Roman" w:cs="Times New Roman"/>
          <w:sz w:val="20"/>
          <w:szCs w:val="20"/>
        </w:rPr>
      </w:pPr>
    </w:p>
    <w:p w14:paraId="055FABA9" w14:textId="77777777" w:rsidR="00AE136F" w:rsidRPr="00AE136F" w:rsidRDefault="00AE136F" w:rsidP="00AE136F">
      <w:pPr>
        <w:rPr>
          <w:rFonts w:ascii="Times New Roman" w:hAnsi="Times New Roman" w:cs="Times New Roman"/>
          <w:sz w:val="20"/>
          <w:szCs w:val="20"/>
        </w:rPr>
      </w:pPr>
    </w:p>
    <w:p w14:paraId="486B6B83" w14:textId="143922D5" w:rsidR="00AE136F" w:rsidRPr="00AE136F" w:rsidRDefault="00AE136F">
      <w:pPr>
        <w:pStyle w:val="FootnoteText"/>
        <w:rPr>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AE05C27"/>
    <w:tmpl w:val="75E681F0"/>
    <w:lvl w:ilvl="0" w:tplc="0409000F">
      <w:numFmt w:val="decimal"/>
      <w:lvlText w:val="%1."/>
      <w:start w:val="1"/>
      <w:pPr>
        <w:ind w:left="36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
    <w:multiLevelType w:val="hybridMultilevel"/>
    <w:nsid w:val="0C0663DE"/>
    <w:tmpl w:val="85742402"/>
    <w:lvl w:ilvl="0" w:tplc="04090001">
      <w:numFmt w:val="bullet"/>
      <w:lvlText w:val=""/>
      <w:start w:val="1"/>
      <w:rPr>
        <w:rFonts w:ascii="Symbol" w:hAnsi="Symbol" w:hint="default"/>
      </w:rPr>
      <w:pPr>
        <w:ind w:left="360"/>
        <w:ind w:hanging="360"/>
      </w:pPr>
      <w:lvlJc w:val="left"/>
    </w:lvl>
    <w:lvl w:ilvl="1" w:tentative="1" w:tplc="04090003">
      <w:numFmt w:val="bullet"/>
      <w:lvlText w:val="o"/>
      <w:start w:val="1"/>
      <w:rPr>
        <w:rFonts w:ascii="Courier New" w:cs="Courier New" w:hAnsi="Courier New" w:hint="default"/>
      </w:rPr>
      <w:pPr>
        <w:ind w:left="1080"/>
        <w:ind w:hanging="360"/>
      </w:pPr>
      <w:lvlJc w:val="left"/>
    </w:lvl>
    <w:lvl w:ilvl="2" w:tentative="1" w:tplc="04090005">
      <w:numFmt w:val="bullet"/>
      <w:lvlText w:val=""/>
      <w:start w:val="1"/>
      <w:rPr>
        <w:rFonts w:ascii="Wingdings" w:hAnsi="Wingdings" w:hint="default"/>
      </w:rPr>
      <w:pPr>
        <w:ind w:left="1800"/>
        <w:ind w:hanging="360"/>
      </w:pPr>
      <w:lvlJc w:val="left"/>
    </w:lvl>
    <w:lvl w:ilvl="3" w:tentative="1" w:tplc="04090001">
      <w:numFmt w:val="bullet"/>
      <w:lvlText w:val=""/>
      <w:start w:val="1"/>
      <w:rPr>
        <w:rFonts w:ascii="Symbol" w:hAnsi="Symbol" w:hint="default"/>
      </w:rPr>
      <w:pPr>
        <w:ind w:left="2520"/>
        <w:ind w:hanging="360"/>
      </w:pPr>
      <w:lvlJc w:val="left"/>
    </w:lvl>
    <w:lvl w:ilvl="4" w:tentative="1" w:tplc="04090003">
      <w:numFmt w:val="bullet"/>
      <w:lvlText w:val="o"/>
      <w:start w:val="1"/>
      <w:rPr>
        <w:rFonts w:ascii="Courier New" w:cs="Courier New" w:hAnsi="Courier New" w:hint="default"/>
      </w:rPr>
      <w:pPr>
        <w:ind w:left="3240"/>
        <w:ind w:hanging="360"/>
      </w:pPr>
      <w:lvlJc w:val="left"/>
    </w:lvl>
    <w:lvl w:ilvl="5" w:tentative="1" w:tplc="04090005">
      <w:numFmt w:val="bullet"/>
      <w:lvlText w:val=""/>
      <w:start w:val="1"/>
      <w:rPr>
        <w:rFonts w:ascii="Wingdings" w:hAnsi="Wingdings" w:hint="default"/>
      </w:rPr>
      <w:pPr>
        <w:ind w:left="3960"/>
        <w:ind w:hanging="360"/>
      </w:pPr>
      <w:lvlJc w:val="left"/>
    </w:lvl>
    <w:lvl w:ilvl="6" w:tentative="1" w:tplc="04090001">
      <w:numFmt w:val="bullet"/>
      <w:lvlText w:val=""/>
      <w:start w:val="1"/>
      <w:rPr>
        <w:rFonts w:ascii="Symbol" w:hAnsi="Symbol" w:hint="default"/>
      </w:rPr>
      <w:pPr>
        <w:ind w:left="4680"/>
        <w:ind w:hanging="360"/>
      </w:pPr>
      <w:lvlJc w:val="left"/>
    </w:lvl>
    <w:lvl w:ilvl="7" w:tentative="1" w:tplc="04090003">
      <w:numFmt w:val="bullet"/>
      <w:lvlText w:val="o"/>
      <w:start w:val="1"/>
      <w:rPr>
        <w:rFonts w:ascii="Courier New" w:cs="Courier New" w:hAnsi="Courier New" w:hint="default"/>
      </w:rPr>
      <w:pPr>
        <w:ind w:left="5400"/>
        <w:ind w:hanging="360"/>
      </w:pPr>
      <w:lvlJc w:val="left"/>
    </w:lvl>
    <w:lvl w:ilvl="8" w:tentative="1" w:tplc="04090005">
      <w:numFmt w:val="bullet"/>
      <w:lvlText w:val=""/>
      <w:start w:val="1"/>
      <w:rPr>
        <w:rFonts w:ascii="Wingdings" w:hAnsi="Wingdings" w:hint="default"/>
      </w:rPr>
      <w:pPr>
        <w:ind w:left="612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zoom w:val="bestFit"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1D25"/>
  <w15:chartTrackingRefBased/>
  <w15:docId w15:val="{B1D9F265-973E-7D4B-96AF-4706373F12F6}"/>
  <w:rsids>
    <w:rsidRoot val="00F628D0"/>
    <w:rsid val="000C2DF1"/>
    <w:rsid val="00100CD3"/>
    <w:rsid val="00185695"/>
    <w:rsid val="00230476"/>
    <w:rsid val="00273019"/>
    <w:rsid val="002D1BC1"/>
    <w:rsid val="003E467A"/>
    <w:rsid val="00551E37"/>
    <w:rsid val="00647443"/>
    <w:rsid val="006519A8"/>
    <w:rsid val="006D4949"/>
    <w:rsid val="00740C5C"/>
    <w:rsid val="00751894"/>
    <w:rsid val="00762C51"/>
    <w:rsid val="00790C25"/>
    <w:rsid val="00826100"/>
    <w:rsid val="008E1BAE"/>
    <w:rsid val="00990B78"/>
    <w:rsid val="00994214"/>
    <w:rsid val="009E675C"/>
    <w:rsid val="00A21AE6"/>
    <w:rsid val="00A622EF"/>
    <w:rsid val="00A7252D"/>
    <w:rsid val="00AE136F"/>
    <w:rsid val="00AE74EF"/>
    <w:rsid val="00B13F60"/>
    <w:rsid val="00B33758"/>
    <w:rsid val="00B91722"/>
    <w:rsid val="00BC7911"/>
    <w:rsid val="00CF5F3C"/>
    <w:rsid val="00D431F5"/>
    <w:rsid val="00DD7ED3"/>
    <w:rsid val="00F450CA"/>
    <w:rsid val="00F628D0"/>
    <w:rsid val="00F94637"/>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docDefaults>
    <w:rPrDefault>
      <w:rPr>
        <w:lang w:val="en-CH" w:eastAsia="en-US" w:bidi="ar-SA"/>
        <w:rFonts w:ascii="Calibri" w:eastAsiaTheme="minorHAnsi" w:hAnsiTheme="minorHAnsi" w:cstheme="minorBidi"/>
        <w:sz w:val="24"/>
        <w:szCs w:val="24"/>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894"/>
    <w:rPr>
      <w:rFonts w:ascii="Times New Roman" w:cs="Times New Roman" w:hAnsi="Times New Roman"/>
      <w:sz w:val="18"/>
      <w:szCs w:val="18"/>
    </w:rPr>
  </w:style>
  <w:style w:type="character" w:styleId="BalloonTextChar">
    <w:name w:val="Balloon Text Char"/>
    <w:basedOn w:val="DefaultParagraphFont"/>
    <w:link w:val="BalloonText"/>
    <w:uiPriority w:val="99"/>
    <w:semiHidden/>
    <w:rsid w:val="00751894"/>
    <w:rPr>
      <w:rFonts w:ascii="Times New Roman" w:cs="Times New Roman" w:hAnsi="Times New Roman"/>
      <w:sz w:val="18"/>
      <w:szCs w:val="18"/>
    </w:rPr>
  </w:style>
  <w:style w:type="paragraph" w:styleId="Footer">
    <w:name w:val="footer"/>
    <w:basedOn w:val="Normal"/>
    <w:link w:val="FooterChar"/>
    <w:uiPriority w:val="99"/>
    <w:unhideWhenUsed/>
    <w:rsid w:val="00740C5C"/>
    <w:pPr>
      <w:tabs>
        <w:tab w:val="center" w:pos="4513"/>
        <w:tab w:val="right" w:pos="9026"/>
      </w:tabs>
    </w:pPr>
  </w:style>
  <w:style w:type="character" w:styleId="FooterChar">
    <w:name w:val="Footer Char"/>
    <w:basedOn w:val="DefaultParagraphFont"/>
    <w:link w:val="Footer"/>
    <w:uiPriority w:val="99"/>
    <w:rsid w:val="00740C5C"/>
  </w:style>
  <w:style w:type="character" w:styleId="PageNumber">
    <w:name w:val="page number"/>
    <w:basedOn w:val="DefaultParagraphFont"/>
    <w:uiPriority w:val="99"/>
    <w:semiHidden/>
    <w:unhideWhenUsed/>
    <w:rsid w:val="00740C5C"/>
  </w:style>
  <w:style w:type="character" w:styleId="Hyperlink">
    <w:name w:val="Hyperlink"/>
    <w:basedOn w:val="DefaultParagraphFont"/>
    <w:uiPriority w:val="99"/>
    <w:unhideWhenUsed/>
    <w:rsid w:val="00790C25"/>
    <w:rPr>
      <w:u w:val="single"/>
      <w:color w:val="0563C1"/>
    </w:rPr>
  </w:style>
  <w:style w:type="character" w:styleId="UnresolvedMention">
    <w:name w:val="Unresolved Mention"/>
    <w:basedOn w:val="DefaultParagraphFont"/>
    <w:uiPriority w:val="99"/>
    <w:semiHidden/>
    <w:unhideWhenUsed/>
    <w:rsid w:val="00790C25"/>
    <w:rPr>
      <w:color w:val="605E5C"/>
      <w:shd w:fill="E1DFDD" w:color="auto" w:val="clear"/>
    </w:rPr>
  </w:style>
  <w:style w:type="paragraph" w:styleId="FootnoteText">
    <w:name w:val="footnote text"/>
    <w:basedOn w:val="Normal"/>
    <w:link w:val="FootnoteTextChar"/>
    <w:uiPriority w:val="99"/>
    <w:semiHidden/>
    <w:unhideWhenUsed/>
    <w:rsid w:val="00AE136F"/>
    <w:rPr>
      <w:sz w:val="20"/>
      <w:szCs w:val="20"/>
    </w:rPr>
  </w:style>
  <w:style w:type="character" w:styleId="FootnoteTextChar">
    <w:name w:val="Footnote Text Char"/>
    <w:basedOn w:val="DefaultParagraphFont"/>
    <w:link w:val="FootnoteText"/>
    <w:uiPriority w:val="99"/>
    <w:semiHidden/>
    <w:rsid w:val="00AE136F"/>
    <w:rPr>
      <w:sz w:val="20"/>
      <w:szCs w:val="20"/>
    </w:rPr>
  </w:style>
  <w:style w:type="character" w:styleId="FootnoteReference">
    <w:name w:val="footnote reference"/>
    <w:basedOn w:val="DefaultParagraphFont"/>
    <w:uiPriority w:val="99"/>
    <w:semiHidden/>
    <w:unhideWhenUsed/>
    <w:rsid w:val="00AE136F"/>
    <w:rPr>
      <w:vertAlign w:val="superscript"/>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107784">
      <w:bodyDiv w:val="1"/>
      <w:marLeft w:val="0"/>
      <w:marRight w:val="0"/>
      <w:marTop w:val="0"/>
      <w:marBottom w:val="0"/>
      <w:divBdr>
        <w:top w:val="none" w:sz="0" w:space="0" w:color="auto"/>
        <w:left w:val="none" w:sz="0" w:space="0" w:color="auto"/>
        <w:bottom w:val="none" w:sz="0" w:space="0" w:color="auto"/>
        <w:right w:val="none" w:sz="0" w:space="0" w:color="auto"/>
      </w:divBdr>
    </w:div>
    <w:div w:id="321472774">
      <w:bodyDiv w:val="1"/>
      <w:marLeft w:val="0"/>
      <w:marRight w:val="0"/>
      <w:marTop w:val="0"/>
      <w:marBottom w:val="0"/>
      <w:divBdr>
        <w:top w:val="none" w:sz="0" w:space="0" w:color="auto"/>
        <w:left w:val="none" w:sz="0" w:space="0" w:color="auto"/>
        <w:bottom w:val="none" w:sz="0" w:space="0" w:color="auto"/>
        <w:right w:val="none" w:sz="0" w:space="0" w:color="auto"/>
      </w:divBdr>
    </w:div>
    <w:div w:id="347369834">
      <w:bodyDiv w:val="1"/>
      <w:marLeft w:val="0"/>
      <w:marRight w:val="0"/>
      <w:marTop w:val="0"/>
      <w:marBottom w:val="0"/>
      <w:divBdr>
        <w:top w:val="none" w:sz="0" w:space="0" w:color="auto"/>
        <w:left w:val="none" w:sz="0" w:space="0" w:color="auto"/>
        <w:bottom w:val="none" w:sz="0" w:space="0" w:color="auto"/>
        <w:right w:val="none" w:sz="0" w:space="0" w:color="auto"/>
      </w:divBdr>
      <w:divsChild>
        <w:div w:id="1142962973">
          <w:marLeft w:val="0"/>
          <w:marRight w:val="0"/>
          <w:marTop w:val="0"/>
          <w:marBottom w:val="0"/>
          <w:divBdr>
            <w:top w:val="none" w:sz="0" w:space="0" w:color="auto"/>
            <w:left w:val="none" w:sz="0" w:space="0" w:color="auto"/>
            <w:bottom w:val="none" w:sz="0" w:space="0" w:color="auto"/>
            <w:right w:val="none" w:sz="0" w:space="0" w:color="auto"/>
          </w:divBdr>
        </w:div>
        <w:div w:id="1542093135">
          <w:marLeft w:val="0"/>
          <w:marRight w:val="0"/>
          <w:marTop w:val="0"/>
          <w:marBottom w:val="0"/>
          <w:divBdr>
            <w:top w:val="none" w:sz="0" w:space="0" w:color="auto"/>
            <w:left w:val="none" w:sz="0" w:space="0" w:color="auto"/>
            <w:bottom w:val="none" w:sz="0" w:space="0" w:color="auto"/>
            <w:right w:val="none" w:sz="0" w:space="0" w:color="auto"/>
          </w:divBdr>
        </w:div>
        <w:div w:id="1924684431">
          <w:marLeft w:val="0"/>
          <w:marRight w:val="0"/>
          <w:marTop w:val="0"/>
          <w:marBottom w:val="0"/>
          <w:divBdr>
            <w:top w:val="none" w:sz="0" w:space="0" w:color="auto"/>
            <w:left w:val="none" w:sz="0" w:space="0" w:color="auto"/>
            <w:bottom w:val="none" w:sz="0" w:space="0" w:color="auto"/>
            <w:right w:val="none" w:sz="0" w:space="0" w:color="auto"/>
          </w:divBdr>
        </w:div>
        <w:div w:id="1256399021">
          <w:marLeft w:val="0"/>
          <w:marRight w:val="0"/>
          <w:marTop w:val="0"/>
          <w:marBottom w:val="0"/>
          <w:divBdr>
            <w:top w:val="none" w:sz="0" w:space="0" w:color="auto"/>
            <w:left w:val="none" w:sz="0" w:space="0" w:color="auto"/>
            <w:bottom w:val="none" w:sz="0" w:space="0" w:color="auto"/>
            <w:right w:val="none" w:sz="0" w:space="0" w:color="auto"/>
          </w:divBdr>
        </w:div>
        <w:div w:id="565142762">
          <w:marLeft w:val="0"/>
          <w:marRight w:val="0"/>
          <w:marTop w:val="0"/>
          <w:marBottom w:val="0"/>
          <w:divBdr>
            <w:top w:val="none" w:sz="0" w:space="0" w:color="auto"/>
            <w:left w:val="none" w:sz="0" w:space="0" w:color="auto"/>
            <w:bottom w:val="none" w:sz="0" w:space="0" w:color="auto"/>
            <w:right w:val="none" w:sz="0" w:space="0" w:color="auto"/>
          </w:divBdr>
        </w:div>
        <w:div w:id="2022006581">
          <w:marLeft w:val="0"/>
          <w:marRight w:val="0"/>
          <w:marTop w:val="0"/>
          <w:marBottom w:val="0"/>
          <w:divBdr>
            <w:top w:val="none" w:sz="0" w:space="0" w:color="auto"/>
            <w:left w:val="none" w:sz="0" w:space="0" w:color="auto"/>
            <w:bottom w:val="none" w:sz="0" w:space="0" w:color="auto"/>
            <w:right w:val="none" w:sz="0" w:space="0" w:color="auto"/>
          </w:divBdr>
        </w:div>
        <w:div w:id="96945517">
          <w:marLeft w:val="0"/>
          <w:marRight w:val="0"/>
          <w:marTop w:val="0"/>
          <w:marBottom w:val="0"/>
          <w:divBdr>
            <w:top w:val="none" w:sz="0" w:space="0" w:color="auto"/>
            <w:left w:val="none" w:sz="0" w:space="0" w:color="auto"/>
            <w:bottom w:val="none" w:sz="0" w:space="0" w:color="auto"/>
            <w:right w:val="none" w:sz="0" w:space="0" w:color="auto"/>
          </w:divBdr>
        </w:div>
      </w:divsChild>
    </w:div>
    <w:div w:id="698630363">
      <w:bodyDiv w:val="1"/>
      <w:marLeft w:val="0"/>
      <w:marRight w:val="0"/>
      <w:marTop w:val="0"/>
      <w:marBottom w:val="0"/>
      <w:divBdr>
        <w:top w:val="none" w:sz="0" w:space="0" w:color="auto"/>
        <w:left w:val="none" w:sz="0" w:space="0" w:color="auto"/>
        <w:bottom w:val="none" w:sz="0" w:space="0" w:color="auto"/>
        <w:right w:val="none" w:sz="0" w:space="0" w:color="auto"/>
      </w:divBdr>
      <w:divsChild>
        <w:div w:id="1024795000">
          <w:marLeft w:val="0"/>
          <w:marRight w:val="0"/>
          <w:marTop w:val="0"/>
          <w:marBottom w:val="0"/>
          <w:divBdr>
            <w:top w:val="none" w:sz="0" w:space="0" w:color="auto"/>
            <w:left w:val="none" w:sz="0" w:space="0" w:color="auto"/>
            <w:bottom w:val="none" w:sz="0" w:space="0" w:color="auto"/>
            <w:right w:val="none" w:sz="0" w:space="0" w:color="auto"/>
          </w:divBdr>
        </w:div>
        <w:div w:id="110590371">
          <w:marLeft w:val="0"/>
          <w:marRight w:val="0"/>
          <w:marTop w:val="0"/>
          <w:marBottom w:val="0"/>
          <w:divBdr>
            <w:top w:val="none" w:sz="0" w:space="0" w:color="auto"/>
            <w:left w:val="none" w:sz="0" w:space="0" w:color="auto"/>
            <w:bottom w:val="none" w:sz="0" w:space="0" w:color="auto"/>
            <w:right w:val="none" w:sz="0" w:space="0" w:color="auto"/>
          </w:divBdr>
        </w:div>
        <w:div w:id="70929721">
          <w:marLeft w:val="0"/>
          <w:marRight w:val="0"/>
          <w:marTop w:val="0"/>
          <w:marBottom w:val="0"/>
          <w:divBdr>
            <w:top w:val="none" w:sz="0" w:space="0" w:color="auto"/>
            <w:left w:val="none" w:sz="0" w:space="0" w:color="auto"/>
            <w:bottom w:val="none" w:sz="0" w:space="0" w:color="auto"/>
            <w:right w:val="none" w:sz="0" w:space="0" w:color="auto"/>
          </w:divBdr>
        </w:div>
        <w:div w:id="548226595">
          <w:marLeft w:val="0"/>
          <w:marRight w:val="0"/>
          <w:marTop w:val="0"/>
          <w:marBottom w:val="0"/>
          <w:divBdr>
            <w:top w:val="none" w:sz="0" w:space="0" w:color="auto"/>
            <w:left w:val="none" w:sz="0" w:space="0" w:color="auto"/>
            <w:bottom w:val="none" w:sz="0" w:space="0" w:color="auto"/>
            <w:right w:val="none" w:sz="0" w:space="0" w:color="auto"/>
          </w:divBdr>
        </w:div>
        <w:div w:id="98759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de.ec.europa.eu/doclib/docs/2020/january/tradoc_15856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tr.gov/sites/default/files/2020_Special_301_Report.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presscorner/detail/en/speech_20_22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8581D-7B55-C445-861D-B2282730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7</Pages>
  <Words>3656</Words>
  <Characters>20223</Characters>
  <Application>Microsoft Office Word</Application>
  <DocSecurity>0</DocSecurity>
  <Lines>315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Mustaqeem DE GAMA</dc:creator>
  <cp:keywords/>
  <dc:description/>
  <cp:lastModifiedBy>Mustaqeem DE GAMA</cp:lastModifiedBy>
  <cp:revision>8</cp:revision>
  <cp:lastPrinted>2020-12-10T13:49:00Z</cp:lastPrinted>
  <dcterms:created xsi:type="dcterms:W3CDTF">2020-12-09T20:29:00Z</dcterms:created>
  <dcterms:modified xsi:type="dcterms:W3CDTF">2020-12-10T20:16:00Z</dcterms:modified>
</cp:coreProperties>
</file>