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5970" w14:textId="4526F15D" w:rsidR="0062157C" w:rsidRPr="000003F8" w:rsidRDefault="0062157C" w:rsidP="000003F8">
      <w:pPr>
        <w:spacing w:before="120" w:after="0" w:line="240" w:lineRule="auto"/>
        <w:jc w:val="center"/>
        <w:rPr>
          <w:rFonts w:cstheme="minorHAnsi"/>
          <w:color w:val="000000" w:themeColor="text1"/>
        </w:rPr>
      </w:pPr>
      <w:r w:rsidRPr="000003F8">
        <w:rPr>
          <w:rFonts w:cstheme="minorHAnsi"/>
          <w:b/>
          <w:bCs/>
          <w:color w:val="000000" w:themeColor="text1"/>
          <w:highlight w:val="green"/>
        </w:rPr>
        <w:t xml:space="preserve">Strengthening </w:t>
      </w:r>
      <w:r w:rsidR="008860AA" w:rsidRPr="000003F8">
        <w:rPr>
          <w:rFonts w:cstheme="minorHAnsi"/>
          <w:b/>
          <w:bCs/>
          <w:color w:val="000000" w:themeColor="text1"/>
          <w:highlight w:val="green"/>
        </w:rPr>
        <w:t>c</w:t>
      </w:r>
      <w:r w:rsidRPr="000003F8">
        <w:rPr>
          <w:rFonts w:cstheme="minorHAnsi"/>
          <w:b/>
          <w:bCs/>
          <w:color w:val="000000" w:themeColor="text1"/>
          <w:highlight w:val="green"/>
        </w:rPr>
        <w:t xml:space="preserve">linical </w:t>
      </w:r>
      <w:r w:rsidR="008860AA" w:rsidRPr="000003F8">
        <w:rPr>
          <w:rFonts w:cstheme="minorHAnsi"/>
          <w:b/>
          <w:bCs/>
          <w:color w:val="000000" w:themeColor="text1"/>
          <w:highlight w:val="green"/>
        </w:rPr>
        <w:t>t</w:t>
      </w:r>
      <w:r w:rsidRPr="000003F8">
        <w:rPr>
          <w:rFonts w:cstheme="minorHAnsi"/>
          <w:b/>
          <w:bCs/>
          <w:color w:val="000000" w:themeColor="text1"/>
          <w:highlight w:val="green"/>
        </w:rPr>
        <w:t>rials</w:t>
      </w:r>
      <w:r w:rsidR="00F55C30" w:rsidRPr="000003F8">
        <w:rPr>
          <w:rStyle w:val="FootnoteReference"/>
          <w:rFonts w:cstheme="minorHAnsi"/>
          <w:b/>
          <w:bCs/>
          <w:color w:val="000000" w:themeColor="text1"/>
          <w:highlight w:val="green"/>
        </w:rPr>
        <w:footnoteReference w:id="2"/>
      </w:r>
      <w:r w:rsidRPr="000003F8">
        <w:rPr>
          <w:rFonts w:cstheme="minorHAnsi"/>
          <w:b/>
          <w:bCs/>
          <w:color w:val="000000" w:themeColor="text1"/>
          <w:highlight w:val="green"/>
        </w:rPr>
        <w:t xml:space="preserve"> </w:t>
      </w:r>
      <w:r w:rsidR="00B0734B" w:rsidRPr="000003F8">
        <w:rPr>
          <w:rFonts w:cstheme="minorHAnsi"/>
          <w:b/>
          <w:bCs/>
          <w:color w:val="000000" w:themeColor="text1"/>
          <w:highlight w:val="green"/>
        </w:rPr>
        <w:t xml:space="preserve">to provide </w:t>
      </w:r>
      <w:r w:rsidR="00855E9E" w:rsidRPr="000003F8">
        <w:rPr>
          <w:rFonts w:cstheme="minorHAnsi"/>
          <w:b/>
          <w:bCs/>
          <w:color w:val="000000" w:themeColor="text1"/>
          <w:highlight w:val="green"/>
        </w:rPr>
        <w:t xml:space="preserve">high-quality evidence on </w:t>
      </w:r>
      <w:r w:rsidR="00881699" w:rsidRPr="000003F8">
        <w:rPr>
          <w:rFonts w:cstheme="minorHAnsi"/>
          <w:b/>
          <w:bCs/>
          <w:color w:val="000000" w:themeColor="text1"/>
          <w:highlight w:val="green"/>
        </w:rPr>
        <w:t>health</w:t>
      </w:r>
      <w:r w:rsidR="00855E9E" w:rsidRPr="000003F8">
        <w:rPr>
          <w:rFonts w:cstheme="minorHAnsi"/>
          <w:b/>
          <w:bCs/>
          <w:color w:val="000000" w:themeColor="text1"/>
          <w:highlight w:val="green"/>
        </w:rPr>
        <w:t xml:space="preserve"> interventions and </w:t>
      </w:r>
      <w:r w:rsidR="0065138D" w:rsidRPr="000003F8">
        <w:rPr>
          <w:rFonts w:cstheme="minorHAnsi"/>
          <w:b/>
          <w:bCs/>
          <w:color w:val="000000" w:themeColor="text1"/>
          <w:highlight w:val="green"/>
        </w:rPr>
        <w:t xml:space="preserve">to </w:t>
      </w:r>
      <w:r w:rsidR="008860AA" w:rsidRPr="000003F8">
        <w:rPr>
          <w:rFonts w:cstheme="minorHAnsi"/>
          <w:b/>
          <w:bCs/>
          <w:color w:val="000000" w:themeColor="text1"/>
          <w:highlight w:val="green"/>
        </w:rPr>
        <w:t>i</w:t>
      </w:r>
      <w:r w:rsidRPr="000003F8">
        <w:rPr>
          <w:rFonts w:cstheme="minorHAnsi"/>
          <w:b/>
          <w:bCs/>
          <w:color w:val="000000" w:themeColor="text1"/>
          <w:highlight w:val="green"/>
        </w:rPr>
        <w:t xml:space="preserve">mprove </w:t>
      </w:r>
      <w:r w:rsidR="008860AA" w:rsidRPr="000003F8">
        <w:rPr>
          <w:rFonts w:cstheme="minorHAnsi"/>
          <w:b/>
          <w:bCs/>
          <w:color w:val="000000" w:themeColor="text1"/>
          <w:highlight w:val="green"/>
        </w:rPr>
        <w:t>r</w:t>
      </w:r>
      <w:r w:rsidRPr="000003F8">
        <w:rPr>
          <w:rFonts w:cstheme="minorHAnsi"/>
          <w:b/>
          <w:bCs/>
          <w:color w:val="000000" w:themeColor="text1"/>
          <w:highlight w:val="green"/>
        </w:rPr>
        <w:t>esearch</w:t>
      </w:r>
      <w:r w:rsidR="00855E9E" w:rsidRPr="000003F8">
        <w:rPr>
          <w:rFonts w:cstheme="minorHAnsi"/>
          <w:b/>
          <w:bCs/>
          <w:color w:val="000000" w:themeColor="text1"/>
          <w:highlight w:val="green"/>
        </w:rPr>
        <w:t xml:space="preserve"> quality and coordination</w:t>
      </w:r>
    </w:p>
    <w:p w14:paraId="0EBE02B7" w14:textId="77777777" w:rsidR="000003F8" w:rsidRDefault="000003F8" w:rsidP="00120BD3">
      <w:pPr>
        <w:spacing w:before="120" w:after="0" w:line="240" w:lineRule="auto"/>
        <w:rPr>
          <w:rFonts w:cstheme="minorHAnsi"/>
          <w:highlight w:val="green"/>
        </w:rPr>
      </w:pPr>
    </w:p>
    <w:p w14:paraId="5402A672" w14:textId="1CAC0810" w:rsidR="001D2BA9" w:rsidRPr="000003F8" w:rsidRDefault="0062157C" w:rsidP="00120BD3">
      <w:pPr>
        <w:spacing w:before="120" w:after="0" w:line="240" w:lineRule="auto"/>
        <w:rPr>
          <w:rFonts w:cstheme="minorHAnsi"/>
        </w:rPr>
      </w:pPr>
      <w:r w:rsidRPr="000003F8">
        <w:rPr>
          <w:rFonts w:cstheme="minorHAnsi"/>
          <w:highlight w:val="green"/>
        </w:rPr>
        <w:t>The Seventy-fifth World Health Assembly,</w:t>
      </w:r>
      <w:r w:rsidRPr="000003F8">
        <w:rPr>
          <w:rFonts w:cstheme="minorHAnsi"/>
        </w:rPr>
        <w:t xml:space="preserve"> </w:t>
      </w:r>
    </w:p>
    <w:p w14:paraId="6A38A52F" w14:textId="643B6EA6" w:rsidR="001D2BA9" w:rsidRPr="000003F8" w:rsidRDefault="001D2BA9" w:rsidP="000D0B55">
      <w:pPr>
        <w:spacing w:before="120" w:after="0" w:line="240" w:lineRule="auto"/>
        <w:rPr>
          <w:rFonts w:cstheme="minorHAnsi"/>
        </w:rPr>
      </w:pPr>
      <w:r w:rsidRPr="000003F8">
        <w:rPr>
          <w:rFonts w:cstheme="minorHAnsi"/>
          <w:i/>
          <w:iCs/>
          <w:highlight w:val="green"/>
        </w:rPr>
        <w:t>Recalling</w:t>
      </w:r>
      <w:r w:rsidRPr="000003F8">
        <w:rPr>
          <w:rFonts w:cstheme="minorHAnsi"/>
          <w:highlight w:val="green"/>
        </w:rPr>
        <w:t xml:space="preserve"> resolutions WHA58.34 (2005) acknowledging that high-quality, ethical research, and the generation and application of knowledge, are critical in achieving internationally agreed health-related development goals, WHA63.21 (2010) outlining the World Health Organization’s role and responsibilities in health rese</w:t>
      </w:r>
      <w:r w:rsidR="005E713B" w:rsidRPr="000003F8">
        <w:rPr>
          <w:rFonts w:cstheme="minorHAnsi"/>
          <w:highlight w:val="green"/>
        </w:rPr>
        <w:t>arch, WHA66.22 (2013) and WHA69.</w:t>
      </w:r>
      <w:r w:rsidRPr="000003F8">
        <w:rPr>
          <w:rFonts w:cstheme="minorHAnsi"/>
          <w:highlight w:val="green"/>
        </w:rPr>
        <w:t xml:space="preserve">23 (2016) on the follow-up of the report of the Consultative Expert Working Group on Research and Development: Financing and Coordination, WHA67.20 (2014) on regulatory system strengthening for medical products, WHA67.23 (2014) on health intervention and technology assessment in support of universal health coverage, WHA74.6 (2021) on strengthening local production of medicines and other health technologies to improve access, and WHA74.7 (2021) on strengthening WHO preparedness for and response to health emergencies, </w:t>
      </w:r>
      <w:r w:rsidR="004D08BB" w:rsidRPr="000003F8">
        <w:rPr>
          <w:rFonts w:cstheme="minorHAnsi"/>
          <w:highlight w:val="green"/>
        </w:rPr>
        <w:t>which notes the importance of basic and clinical research and recognizes the critical role of international collaboration in research and development, including in multicountry clinical and vaccine trials, as well as rapid diagnostics test and assay development, while acknowledging the need for further rigorous scientific evidence</w:t>
      </w:r>
      <w:r w:rsidRPr="000003F8">
        <w:rPr>
          <w:rFonts w:cstheme="minorHAnsi"/>
          <w:highlight w:val="green"/>
        </w:rPr>
        <w:t>;</w:t>
      </w:r>
    </w:p>
    <w:p w14:paraId="398BEC1A" w14:textId="39E88315" w:rsidR="00B16949" w:rsidRPr="000003F8" w:rsidRDefault="00B16949" w:rsidP="00B16949">
      <w:pPr>
        <w:spacing w:before="120" w:after="0" w:line="240" w:lineRule="auto"/>
        <w:rPr>
          <w:rFonts w:cstheme="minorHAnsi"/>
          <w:color w:val="000000" w:themeColor="text1"/>
        </w:rPr>
      </w:pPr>
      <w:r w:rsidRPr="000003F8">
        <w:rPr>
          <w:rFonts w:eastAsia="Arial" w:cstheme="minorHAnsi"/>
          <w:i/>
          <w:iCs/>
          <w:color w:val="000000" w:themeColor="text1"/>
          <w:highlight w:val="green"/>
        </w:rPr>
        <w:t>Noting</w:t>
      </w:r>
      <w:r w:rsidRPr="000003F8">
        <w:rPr>
          <w:rFonts w:eastAsia="Arial" w:cstheme="minorHAnsi"/>
          <w:color w:val="000000" w:themeColor="text1"/>
          <w:highlight w:val="green"/>
        </w:rPr>
        <w:t xml:space="preserve"> the recommendations made by the Independent Panel for Pandemic Preparedness and Response in their review ‘COVID-19: Make it the Last Pandemic’</w:t>
      </w:r>
      <w:r w:rsidRPr="000003F8">
        <w:rPr>
          <w:rStyle w:val="FootnoteReference"/>
          <w:rFonts w:eastAsia="Arial" w:cstheme="minorHAnsi"/>
          <w:color w:val="000000" w:themeColor="text1"/>
          <w:highlight w:val="green"/>
        </w:rPr>
        <w:footnoteReference w:id="3"/>
      </w:r>
      <w:r w:rsidRPr="000003F8">
        <w:rPr>
          <w:rFonts w:eastAsia="Arial" w:cstheme="minorHAnsi"/>
          <w:color w:val="000000" w:themeColor="text1"/>
          <w:highlight w:val="green"/>
        </w:rPr>
        <w:t xml:space="preserve"> relating to health research and development, including clinical trials;</w:t>
      </w:r>
      <w:r w:rsidRPr="000003F8">
        <w:rPr>
          <w:rFonts w:eastAsia="Arial" w:cstheme="minorHAnsi"/>
          <w:color w:val="000000" w:themeColor="text1"/>
        </w:rPr>
        <w:t xml:space="preserve"> </w:t>
      </w:r>
    </w:p>
    <w:p w14:paraId="15F32026" w14:textId="27F99964" w:rsidR="0094584B" w:rsidRPr="000003F8" w:rsidRDefault="0094584B" w:rsidP="000D0B55">
      <w:pPr>
        <w:spacing w:before="120" w:after="0" w:line="240" w:lineRule="auto"/>
        <w:rPr>
          <w:rFonts w:cstheme="minorHAnsi"/>
          <w:color w:val="000000" w:themeColor="text1"/>
          <w:highlight w:val="green"/>
        </w:rPr>
      </w:pPr>
      <w:r w:rsidRPr="000003F8">
        <w:rPr>
          <w:rFonts w:eastAsia="Arial" w:cstheme="minorHAnsi"/>
          <w:i/>
          <w:iCs/>
          <w:color w:val="000000" w:themeColor="text1"/>
          <w:highlight w:val="green"/>
        </w:rPr>
        <w:t>Recognizing</w:t>
      </w:r>
      <w:r w:rsidRPr="000003F8">
        <w:rPr>
          <w:rFonts w:eastAsia="Arial" w:cstheme="minorHAnsi"/>
          <w:color w:val="000000" w:themeColor="text1"/>
          <w:highlight w:val="green"/>
        </w:rPr>
        <w:t xml:space="preserve"> that well-designed</w:t>
      </w:r>
      <w:r w:rsidR="00C2672B" w:rsidRPr="000003F8">
        <w:rPr>
          <w:rStyle w:val="FootnoteReference"/>
          <w:rFonts w:eastAsia="Arial" w:cstheme="minorHAnsi"/>
          <w:color w:val="000000" w:themeColor="text1"/>
          <w:highlight w:val="green"/>
        </w:rPr>
        <w:footnoteReference w:id="4"/>
      </w:r>
      <w:r w:rsidRPr="000003F8">
        <w:rPr>
          <w:rFonts w:eastAsia="Arial" w:cstheme="minorHAnsi"/>
          <w:color w:val="000000" w:themeColor="text1"/>
          <w:highlight w:val="green"/>
        </w:rPr>
        <w:t xml:space="preserve"> and well-implemented clinical trials are indispensable for assessing the safety and efficacy of health interventions;</w:t>
      </w:r>
    </w:p>
    <w:p w14:paraId="48F8C82A" w14:textId="2D7E6639" w:rsidR="00B16949" w:rsidRPr="000003F8" w:rsidRDefault="00B16949" w:rsidP="00B16949">
      <w:pPr>
        <w:spacing w:before="120" w:after="0" w:line="240" w:lineRule="auto"/>
        <w:rPr>
          <w:rFonts w:eastAsiaTheme="minorHAnsi" w:cstheme="minorHAnsi"/>
          <w:b/>
          <w:bCs/>
          <w:highlight w:val="green"/>
        </w:rPr>
      </w:pPr>
      <w:r w:rsidRPr="000003F8">
        <w:rPr>
          <w:rFonts w:cstheme="minorHAnsi"/>
          <w:bCs/>
          <w:i/>
          <w:iCs/>
          <w:highlight w:val="green"/>
        </w:rPr>
        <w:t>Noting</w:t>
      </w:r>
      <w:r w:rsidRPr="000003F8">
        <w:rPr>
          <w:rFonts w:cstheme="minorHAnsi"/>
          <w:bCs/>
          <w:highlight w:val="green"/>
        </w:rPr>
        <w:t xml:space="preserve"> the role of clinical trials in the development of safe and efficacious</w:t>
      </w:r>
      <w:r w:rsidRPr="000003F8">
        <w:rPr>
          <w:rFonts w:cstheme="minorHAnsi"/>
          <w:highlight w:val="green"/>
        </w:rPr>
        <w:t xml:space="preserve"> new </w:t>
      </w:r>
      <w:r w:rsidRPr="000003F8">
        <w:rPr>
          <w:rFonts w:cstheme="minorHAnsi"/>
          <w:bCs/>
          <w:highlight w:val="green"/>
        </w:rPr>
        <w:t xml:space="preserve">health interventions, and in informing associated comparative cost-effectiveness evaluations vis-à-vis existing interventions with a view to promoting the affordability of health products </w:t>
      </w:r>
    </w:p>
    <w:p w14:paraId="22980897" w14:textId="65246AD4" w:rsidR="1A565971" w:rsidRPr="000003F8" w:rsidRDefault="1A565971" w:rsidP="000D0B55">
      <w:pPr>
        <w:spacing w:before="120" w:after="0" w:line="240" w:lineRule="auto"/>
        <w:rPr>
          <w:rFonts w:cstheme="minorHAnsi"/>
          <w:color w:val="000000" w:themeColor="text1"/>
        </w:rPr>
      </w:pPr>
      <w:r w:rsidRPr="000003F8">
        <w:rPr>
          <w:rFonts w:eastAsia="Arial" w:cstheme="minorHAnsi"/>
          <w:i/>
          <w:iCs/>
          <w:color w:val="000000" w:themeColor="text1"/>
          <w:highlight w:val="green"/>
        </w:rPr>
        <w:t>Noting</w:t>
      </w:r>
      <w:r w:rsidRPr="000003F8">
        <w:rPr>
          <w:rFonts w:eastAsia="Arial" w:cstheme="minorHAnsi"/>
          <w:color w:val="000000" w:themeColor="text1"/>
          <w:highlight w:val="green"/>
        </w:rPr>
        <w:t xml:space="preserve"> that clinical trials on new health interventions</w:t>
      </w:r>
      <w:r w:rsidR="00E13210" w:rsidRPr="000003F8">
        <w:rPr>
          <w:rFonts w:eastAsia="Arial" w:cstheme="minorHAnsi"/>
          <w:color w:val="000000" w:themeColor="text1"/>
          <w:highlight w:val="green"/>
        </w:rPr>
        <w:t xml:space="preserve"> are likely to produce the clearest result when </w:t>
      </w:r>
      <w:r w:rsidRPr="000003F8">
        <w:rPr>
          <w:rFonts w:eastAsia="Arial" w:cstheme="minorHAnsi"/>
          <w:color w:val="000000" w:themeColor="text1"/>
          <w:highlight w:val="green"/>
        </w:rPr>
        <w:t>carried out in</w:t>
      </w:r>
      <w:r w:rsidRPr="000003F8">
        <w:rPr>
          <w:rFonts w:eastAsia="Arial" w:cstheme="minorHAnsi"/>
          <w:b/>
          <w:bCs/>
          <w:color w:val="000000" w:themeColor="text1"/>
          <w:highlight w:val="green"/>
        </w:rPr>
        <w:t xml:space="preserve"> </w:t>
      </w:r>
      <w:r w:rsidRPr="000003F8">
        <w:rPr>
          <w:rFonts w:eastAsia="Arial" w:cstheme="minorHAnsi"/>
          <w:color w:val="000000" w:themeColor="text1"/>
          <w:highlight w:val="green"/>
        </w:rPr>
        <w:t>diverse settings, including all major population groups the intervention is intended to benefit, with a particular focus on under-represented populations</w:t>
      </w:r>
      <w:r w:rsidR="0094584B" w:rsidRPr="000003F8">
        <w:rPr>
          <w:rFonts w:eastAsia="Arial" w:cstheme="minorHAnsi"/>
          <w:b/>
          <w:bCs/>
          <w:color w:val="000000" w:themeColor="text1"/>
          <w:highlight w:val="green"/>
        </w:rPr>
        <w:t>;</w:t>
      </w:r>
    </w:p>
    <w:p w14:paraId="068D7D44" w14:textId="412323DA" w:rsidR="004824E2" w:rsidRPr="000003F8" w:rsidRDefault="1F6D9293" w:rsidP="000D0B55">
      <w:pPr>
        <w:spacing w:before="120" w:after="0" w:line="240" w:lineRule="auto"/>
        <w:rPr>
          <w:rFonts w:eastAsia="Arial" w:cstheme="minorHAnsi"/>
          <w:color w:val="FF0000"/>
        </w:rPr>
      </w:pPr>
      <w:r w:rsidRPr="000003F8">
        <w:rPr>
          <w:rFonts w:eastAsia="Arial" w:cstheme="minorHAnsi"/>
          <w:i/>
          <w:iCs/>
          <w:color w:val="000000" w:themeColor="text1"/>
          <w:highlight w:val="green"/>
        </w:rPr>
        <w:t>Recognizing</w:t>
      </w:r>
      <w:r w:rsidRPr="000003F8">
        <w:rPr>
          <w:rFonts w:eastAsia="Arial" w:cstheme="minorHAnsi"/>
          <w:color w:val="000000" w:themeColor="text1"/>
          <w:highlight w:val="green"/>
        </w:rPr>
        <w:t xml:space="preserve"> the potential benefits available from </w:t>
      </w:r>
      <w:r w:rsidR="00E8338C" w:rsidRPr="000003F8">
        <w:rPr>
          <w:rFonts w:eastAsia="Arial" w:cstheme="minorHAnsi"/>
          <w:color w:val="000000" w:themeColor="text1"/>
          <w:highlight w:val="green"/>
        </w:rPr>
        <w:t xml:space="preserve">collaboration, coordination and the </w:t>
      </w:r>
      <w:r w:rsidR="00A17284" w:rsidRPr="000003F8">
        <w:rPr>
          <w:rFonts w:eastAsia="Arial" w:cstheme="minorHAnsi"/>
          <w:color w:val="000000" w:themeColor="text1"/>
          <w:highlight w:val="green"/>
        </w:rPr>
        <w:t xml:space="preserve">exchange of information </w:t>
      </w:r>
      <w:r w:rsidRPr="000003F8">
        <w:rPr>
          <w:rFonts w:eastAsia="Arial" w:cstheme="minorHAnsi"/>
          <w:color w:val="000000" w:themeColor="text1"/>
          <w:highlight w:val="green"/>
        </w:rPr>
        <w:t xml:space="preserve">between public and non-public funders of clinical trials, while actively preventing and managing conflicts of interest, </w:t>
      </w:r>
      <w:r w:rsidR="004D6457" w:rsidRPr="000003F8">
        <w:rPr>
          <w:rFonts w:eastAsia="Arial" w:cstheme="minorHAnsi"/>
          <w:color w:val="000000" w:themeColor="text1"/>
          <w:highlight w:val="green"/>
        </w:rPr>
        <w:t xml:space="preserve">and noting the potential benefits from public and non-public funders of clinical trials taking steps </w:t>
      </w:r>
      <w:r w:rsidRPr="000003F8">
        <w:rPr>
          <w:rFonts w:eastAsia="Arial" w:cstheme="minorHAnsi"/>
          <w:color w:val="000000" w:themeColor="text1"/>
          <w:highlight w:val="green"/>
        </w:rPr>
        <w:t xml:space="preserve">to ensure funding is targeted towards </w:t>
      </w:r>
      <w:r w:rsidR="00C55535" w:rsidRPr="000003F8">
        <w:rPr>
          <w:rFonts w:eastAsia="Arial" w:cstheme="minorHAnsi"/>
          <w:color w:val="000000" w:themeColor="text1"/>
          <w:highlight w:val="green"/>
        </w:rPr>
        <w:t>well-designed and well-implemented</w:t>
      </w:r>
      <w:r w:rsidRPr="000003F8">
        <w:rPr>
          <w:rFonts w:eastAsia="Arial" w:cstheme="minorHAnsi"/>
          <w:color w:val="000000" w:themeColor="text1"/>
          <w:highlight w:val="green"/>
        </w:rPr>
        <w:t xml:space="preserve"> clinical trials that will produce actionable evidence </w:t>
      </w:r>
      <w:r w:rsidR="00E55696" w:rsidRPr="000003F8">
        <w:rPr>
          <w:rFonts w:eastAsia="Arial" w:cstheme="minorHAnsi"/>
          <w:color w:val="000000" w:themeColor="text1"/>
          <w:highlight w:val="green"/>
        </w:rPr>
        <w:t>regarding</w:t>
      </w:r>
      <w:r w:rsidRPr="000003F8">
        <w:rPr>
          <w:rFonts w:eastAsia="Arial" w:cstheme="minorHAnsi"/>
          <w:color w:val="000000" w:themeColor="text1"/>
          <w:highlight w:val="green"/>
        </w:rPr>
        <w:t xml:space="preserve"> health interventions, which address public health priorities and in particular the health needs of developing countries, such as neglected tropical diseases</w:t>
      </w:r>
      <w:r w:rsidR="004D6457" w:rsidRPr="000003F8">
        <w:rPr>
          <w:rFonts w:eastAsia="Arial" w:cstheme="minorHAnsi"/>
          <w:color w:val="000000" w:themeColor="text1"/>
          <w:highlight w:val="green"/>
        </w:rPr>
        <w:t>,</w:t>
      </w:r>
      <w:r w:rsidR="00ED5B7F" w:rsidRPr="000003F8">
        <w:rPr>
          <w:rFonts w:eastAsia="Arial" w:cstheme="minorHAnsi"/>
          <w:color w:val="000000" w:themeColor="text1"/>
          <w:highlight w:val="green"/>
        </w:rPr>
        <w:t xml:space="preserve"> </w:t>
      </w:r>
      <w:r w:rsidR="004D6457" w:rsidRPr="000003F8">
        <w:rPr>
          <w:rFonts w:eastAsia="Arial" w:cstheme="minorHAnsi"/>
          <w:highlight w:val="green"/>
        </w:rPr>
        <w:t xml:space="preserve">while seeking to strengthen the capability </w:t>
      </w:r>
      <w:r w:rsidR="008C7B25" w:rsidRPr="000003F8">
        <w:rPr>
          <w:rFonts w:eastAsia="Arial" w:cstheme="minorHAnsi"/>
          <w:highlight w:val="green"/>
        </w:rPr>
        <w:t xml:space="preserve">in developing countries </w:t>
      </w:r>
      <w:r w:rsidR="004D6457" w:rsidRPr="000003F8">
        <w:rPr>
          <w:rFonts w:eastAsia="Arial" w:cstheme="minorHAnsi"/>
          <w:highlight w:val="green"/>
        </w:rPr>
        <w:t>to conduct scientifically and ethically sound clinical trials</w:t>
      </w:r>
      <w:r w:rsidR="004D6457" w:rsidRPr="000003F8">
        <w:rPr>
          <w:rFonts w:eastAsia="Arial" w:cstheme="minorHAnsi"/>
        </w:rPr>
        <w:t xml:space="preserve"> </w:t>
      </w:r>
    </w:p>
    <w:p w14:paraId="76BD0ACE" w14:textId="7C233E0E" w:rsidR="450C0B67" w:rsidRPr="000003F8" w:rsidRDefault="450C0B67" w:rsidP="00120BD3">
      <w:pPr>
        <w:spacing w:before="120" w:after="0" w:line="240" w:lineRule="auto"/>
        <w:rPr>
          <w:rFonts w:eastAsia="Arial" w:cstheme="minorHAnsi"/>
          <w:color w:val="000000" w:themeColor="text1"/>
        </w:rPr>
      </w:pPr>
      <w:r w:rsidRPr="000003F8">
        <w:rPr>
          <w:rFonts w:eastAsia="Arial" w:cstheme="minorHAnsi"/>
          <w:i/>
          <w:iCs/>
          <w:color w:val="000000" w:themeColor="text1"/>
          <w:highlight w:val="green"/>
        </w:rPr>
        <w:t>Recognizing</w:t>
      </w:r>
      <w:r w:rsidRPr="000003F8">
        <w:rPr>
          <w:rFonts w:eastAsia="Arial" w:cstheme="minorHAnsi"/>
          <w:color w:val="000000" w:themeColor="text1"/>
          <w:highlight w:val="green"/>
        </w:rPr>
        <w:t xml:space="preserve"> the </w:t>
      </w:r>
      <w:r w:rsidR="00E8338C" w:rsidRPr="000003F8">
        <w:rPr>
          <w:rFonts w:eastAsia="Arial" w:cstheme="minorHAnsi"/>
          <w:color w:val="000000" w:themeColor="text1"/>
          <w:highlight w:val="green"/>
        </w:rPr>
        <w:t>essential</w:t>
      </w:r>
      <w:r w:rsidRPr="000003F8">
        <w:rPr>
          <w:rFonts w:eastAsia="Arial" w:cstheme="minorHAnsi"/>
          <w:color w:val="000000" w:themeColor="text1"/>
          <w:highlight w:val="green"/>
        </w:rPr>
        <w:t xml:space="preserve"> contribution of </w:t>
      </w:r>
      <w:r w:rsidR="006E35A0" w:rsidRPr="000003F8">
        <w:rPr>
          <w:rFonts w:eastAsia="Arial" w:cstheme="minorHAnsi"/>
          <w:color w:val="000000" w:themeColor="text1"/>
          <w:highlight w:val="green"/>
        </w:rPr>
        <w:t xml:space="preserve">clinical </w:t>
      </w:r>
      <w:r w:rsidRPr="000003F8">
        <w:rPr>
          <w:rFonts w:eastAsia="Arial" w:cstheme="minorHAnsi"/>
          <w:color w:val="000000" w:themeColor="text1"/>
          <w:highlight w:val="green"/>
        </w:rPr>
        <w:t>trial participants;</w:t>
      </w:r>
    </w:p>
    <w:p w14:paraId="7C10CA29" w14:textId="6F109372" w:rsidR="450C0B67" w:rsidRPr="000003F8" w:rsidRDefault="450C0B67" w:rsidP="00120BD3">
      <w:pPr>
        <w:spacing w:before="120" w:after="0" w:line="240" w:lineRule="auto"/>
        <w:rPr>
          <w:rFonts w:eastAsia="Arial" w:cstheme="minorHAnsi"/>
          <w:color w:val="000000" w:themeColor="text1"/>
        </w:rPr>
      </w:pPr>
      <w:r w:rsidRPr="000003F8">
        <w:rPr>
          <w:rFonts w:eastAsia="Arial" w:cstheme="minorHAnsi"/>
          <w:i/>
          <w:iCs/>
          <w:color w:val="000000" w:themeColor="text1"/>
          <w:highlight w:val="green"/>
        </w:rPr>
        <w:t>Underscoring</w:t>
      </w:r>
      <w:r w:rsidRPr="000003F8">
        <w:rPr>
          <w:rFonts w:eastAsia="Arial" w:cstheme="minorHAnsi"/>
          <w:color w:val="000000" w:themeColor="text1"/>
          <w:highlight w:val="green"/>
        </w:rPr>
        <w:t xml:space="preserve"> that clinical </w:t>
      </w:r>
      <w:r w:rsidR="008E3E35" w:rsidRPr="000003F8">
        <w:rPr>
          <w:rFonts w:eastAsia="Arial" w:cstheme="minorHAnsi"/>
          <w:color w:val="000000" w:themeColor="text1"/>
          <w:highlight w:val="green"/>
        </w:rPr>
        <w:t xml:space="preserve">trials </w:t>
      </w:r>
      <w:r w:rsidRPr="000003F8">
        <w:rPr>
          <w:rFonts w:eastAsia="Arial" w:cstheme="minorHAnsi"/>
          <w:color w:val="000000" w:themeColor="text1"/>
          <w:highlight w:val="green"/>
        </w:rPr>
        <w:t xml:space="preserve">should be </w:t>
      </w:r>
      <w:r w:rsidR="00152055" w:rsidRPr="000003F8">
        <w:rPr>
          <w:rFonts w:eastAsia="Arial" w:cstheme="minorHAnsi"/>
          <w:color w:val="000000" w:themeColor="text1"/>
          <w:highlight w:val="green"/>
        </w:rPr>
        <w:t>health</w:t>
      </w:r>
      <w:r w:rsidR="00E8338C" w:rsidRPr="000003F8">
        <w:rPr>
          <w:rFonts w:eastAsia="Arial" w:cstheme="minorHAnsi"/>
          <w:color w:val="000000" w:themeColor="text1"/>
          <w:highlight w:val="green"/>
        </w:rPr>
        <w:t>-</w:t>
      </w:r>
      <w:r w:rsidRPr="000003F8">
        <w:rPr>
          <w:rFonts w:eastAsia="Arial" w:cstheme="minorHAnsi"/>
          <w:color w:val="000000" w:themeColor="text1"/>
          <w:highlight w:val="green"/>
        </w:rPr>
        <w:t>needs</w:t>
      </w:r>
      <w:r w:rsidR="00E8338C" w:rsidRPr="000003F8">
        <w:rPr>
          <w:rFonts w:eastAsia="Arial" w:cstheme="minorHAnsi"/>
          <w:color w:val="000000" w:themeColor="text1"/>
          <w:highlight w:val="green"/>
        </w:rPr>
        <w:t xml:space="preserve"> </w:t>
      </w:r>
      <w:r w:rsidRPr="000003F8">
        <w:rPr>
          <w:rFonts w:eastAsia="Arial" w:cstheme="minorHAnsi"/>
          <w:color w:val="000000" w:themeColor="text1"/>
          <w:highlight w:val="green"/>
        </w:rPr>
        <w:t>driven</w:t>
      </w:r>
      <w:r w:rsidR="00C55535" w:rsidRPr="000003F8">
        <w:rPr>
          <w:rFonts w:eastAsia="Arial" w:cstheme="minorHAnsi"/>
          <w:color w:val="000000" w:themeColor="text1"/>
          <w:highlight w:val="green"/>
        </w:rPr>
        <w:t xml:space="preserve">, </w:t>
      </w:r>
      <w:r w:rsidRPr="000003F8">
        <w:rPr>
          <w:rFonts w:eastAsia="Arial" w:cstheme="minorHAnsi"/>
          <w:color w:val="000000" w:themeColor="text1"/>
          <w:highlight w:val="green"/>
        </w:rPr>
        <w:t>evidence-based</w:t>
      </w:r>
      <w:r w:rsidR="00C55535" w:rsidRPr="000003F8">
        <w:rPr>
          <w:rFonts w:eastAsia="Arial" w:cstheme="minorHAnsi"/>
          <w:color w:val="000000" w:themeColor="text1"/>
          <w:highlight w:val="green"/>
        </w:rPr>
        <w:t>, well-designed</w:t>
      </w:r>
      <w:r w:rsidR="008E3E35" w:rsidRPr="000003F8">
        <w:rPr>
          <w:rFonts w:eastAsia="Arial" w:cstheme="minorHAnsi"/>
          <w:color w:val="000000" w:themeColor="text1"/>
          <w:highlight w:val="green"/>
        </w:rPr>
        <w:t xml:space="preserve">, well-implemented </w:t>
      </w:r>
      <w:r w:rsidRPr="000003F8">
        <w:rPr>
          <w:rFonts w:eastAsia="Arial" w:cstheme="minorHAnsi"/>
          <w:color w:val="000000" w:themeColor="text1"/>
          <w:highlight w:val="green"/>
        </w:rPr>
        <w:t xml:space="preserve">and be guided by established ethical guidance, including principles of fairness, equity, justice, beneficence, and autonomy; and </w:t>
      </w:r>
      <w:r w:rsidR="00152055" w:rsidRPr="000003F8">
        <w:rPr>
          <w:rFonts w:eastAsia="Arial" w:cstheme="minorHAnsi"/>
          <w:color w:val="000000" w:themeColor="text1"/>
          <w:highlight w:val="green"/>
        </w:rPr>
        <w:t xml:space="preserve">that clinical trials </w:t>
      </w:r>
      <w:r w:rsidRPr="000003F8">
        <w:rPr>
          <w:rFonts w:eastAsia="Arial" w:cstheme="minorHAnsi"/>
          <w:color w:val="000000" w:themeColor="text1"/>
          <w:highlight w:val="green"/>
        </w:rPr>
        <w:t>should be considered a shared responsibility;</w:t>
      </w:r>
    </w:p>
    <w:p w14:paraId="51F36E47" w14:textId="59CB8C4B" w:rsidR="450C0B67" w:rsidRPr="000003F8" w:rsidRDefault="450C0B67" w:rsidP="00120BD3">
      <w:pPr>
        <w:spacing w:before="120" w:after="0" w:line="240" w:lineRule="auto"/>
        <w:rPr>
          <w:rFonts w:eastAsia="Arial" w:cstheme="minorHAnsi"/>
          <w:color w:val="000000" w:themeColor="text1"/>
        </w:rPr>
      </w:pPr>
      <w:r w:rsidRPr="000003F8">
        <w:rPr>
          <w:rFonts w:eastAsia="Arial" w:cstheme="minorHAnsi"/>
          <w:i/>
          <w:iCs/>
          <w:color w:val="000000" w:themeColor="text1"/>
          <w:highlight w:val="green"/>
        </w:rPr>
        <w:t>Acknowledging</w:t>
      </w:r>
      <w:r w:rsidRPr="000003F8">
        <w:rPr>
          <w:rFonts w:eastAsia="Arial" w:cstheme="minorHAnsi"/>
          <w:color w:val="000000" w:themeColor="text1"/>
          <w:highlight w:val="green"/>
        </w:rPr>
        <w:t xml:space="preserve"> the importance of promoting equity in clinical trial capability, </w:t>
      </w:r>
      <w:r w:rsidR="00303B6B" w:rsidRPr="000003F8">
        <w:rPr>
          <w:rFonts w:eastAsia="Arial" w:cstheme="minorHAnsi"/>
          <w:color w:val="000000" w:themeColor="text1"/>
          <w:highlight w:val="green"/>
        </w:rPr>
        <w:t>including by enhancing the core competencies of research personnel</w:t>
      </w:r>
      <w:r w:rsidR="00BC1119" w:rsidRPr="000003F8">
        <w:rPr>
          <w:rFonts w:eastAsia="Arial" w:cstheme="minorHAnsi"/>
          <w:color w:val="000000" w:themeColor="text1"/>
          <w:highlight w:val="green"/>
        </w:rPr>
        <w:t>,</w:t>
      </w:r>
      <w:r w:rsidR="00303B6B" w:rsidRPr="000003F8">
        <w:rPr>
          <w:rFonts w:eastAsia="Arial" w:cstheme="minorHAnsi"/>
          <w:color w:val="000000" w:themeColor="text1"/>
          <w:highlight w:val="green"/>
        </w:rPr>
        <w:t xml:space="preserve"> </w:t>
      </w:r>
      <w:r w:rsidR="00BC1119" w:rsidRPr="000003F8">
        <w:rPr>
          <w:rFonts w:eastAsia="Arial" w:cstheme="minorHAnsi"/>
          <w:color w:val="000000" w:themeColor="text1"/>
          <w:highlight w:val="green"/>
        </w:rPr>
        <w:t xml:space="preserve">ensuring human subject protections from the risks of clinical trials </w:t>
      </w:r>
      <w:r w:rsidRPr="000003F8">
        <w:rPr>
          <w:rFonts w:eastAsia="Arial" w:cstheme="minorHAnsi"/>
          <w:color w:val="000000" w:themeColor="text1"/>
          <w:highlight w:val="green"/>
        </w:rPr>
        <w:t xml:space="preserve">and </w:t>
      </w:r>
      <w:r w:rsidR="00152055" w:rsidRPr="000003F8">
        <w:rPr>
          <w:rFonts w:eastAsia="Arial" w:cstheme="minorHAnsi"/>
          <w:color w:val="000000" w:themeColor="text1"/>
          <w:highlight w:val="green"/>
        </w:rPr>
        <w:t xml:space="preserve">acknowledging the </w:t>
      </w:r>
      <w:r w:rsidR="00201493" w:rsidRPr="000003F8">
        <w:rPr>
          <w:rFonts w:eastAsia="Arial" w:cstheme="minorHAnsi"/>
          <w:color w:val="000000" w:themeColor="text1"/>
          <w:highlight w:val="green"/>
        </w:rPr>
        <w:t xml:space="preserve">shared </w:t>
      </w:r>
      <w:r w:rsidR="00152055" w:rsidRPr="000003F8">
        <w:rPr>
          <w:rFonts w:eastAsia="Arial" w:cstheme="minorHAnsi"/>
          <w:color w:val="000000" w:themeColor="text1"/>
          <w:highlight w:val="green"/>
        </w:rPr>
        <w:t xml:space="preserve">benefits from </w:t>
      </w:r>
      <w:r w:rsidRPr="000003F8">
        <w:rPr>
          <w:rFonts w:eastAsia="Arial" w:cstheme="minorHAnsi"/>
          <w:color w:val="000000" w:themeColor="text1"/>
          <w:highlight w:val="green"/>
        </w:rPr>
        <w:t>the results generated from clinical research and development</w:t>
      </w:r>
      <w:r w:rsidR="00E8338C" w:rsidRPr="000003F8">
        <w:rPr>
          <w:rFonts w:eastAsia="Arial" w:cstheme="minorHAnsi"/>
          <w:color w:val="000000" w:themeColor="text1"/>
          <w:highlight w:val="green"/>
        </w:rPr>
        <w:t>,</w:t>
      </w:r>
      <w:r w:rsidRPr="000003F8">
        <w:rPr>
          <w:rFonts w:eastAsia="Arial" w:cstheme="minorHAnsi"/>
          <w:color w:val="000000" w:themeColor="text1"/>
          <w:highlight w:val="green"/>
        </w:rPr>
        <w:t xml:space="preserve"> including clinical trials</w:t>
      </w:r>
      <w:r w:rsidR="00E8338C" w:rsidRPr="000003F8">
        <w:rPr>
          <w:rFonts w:eastAsia="Arial" w:cstheme="minorHAnsi"/>
          <w:color w:val="000000" w:themeColor="text1"/>
          <w:highlight w:val="green"/>
        </w:rPr>
        <w:t>,</w:t>
      </w:r>
      <w:r w:rsidRPr="000003F8">
        <w:rPr>
          <w:rFonts w:eastAsia="Arial" w:cstheme="minorHAnsi"/>
          <w:color w:val="000000" w:themeColor="text1"/>
          <w:highlight w:val="green"/>
        </w:rPr>
        <w:t xml:space="preserve"> both by strengthening the clinical trial global ecosystem </w:t>
      </w:r>
      <w:r w:rsidR="004B69A3" w:rsidRPr="000003F8">
        <w:rPr>
          <w:rFonts w:eastAsia="Arial" w:cstheme="minorHAnsi"/>
          <w:color w:val="000000" w:themeColor="text1"/>
          <w:highlight w:val="green"/>
        </w:rPr>
        <w:t>to evaluate</w:t>
      </w:r>
      <w:r w:rsidR="00BC1119" w:rsidRPr="000003F8">
        <w:rPr>
          <w:rFonts w:eastAsia="Arial" w:cstheme="minorHAnsi"/>
          <w:color w:val="000000" w:themeColor="text1"/>
          <w:highlight w:val="green"/>
        </w:rPr>
        <w:t xml:space="preserve"> </w:t>
      </w:r>
      <w:r w:rsidR="00E5381F" w:rsidRPr="000003F8">
        <w:rPr>
          <w:rFonts w:eastAsia="Arial" w:cstheme="minorHAnsi"/>
          <w:color w:val="000000" w:themeColor="text1"/>
          <w:highlight w:val="green"/>
        </w:rPr>
        <w:t xml:space="preserve">health interventions </w:t>
      </w:r>
      <w:r w:rsidRPr="000003F8">
        <w:rPr>
          <w:rFonts w:eastAsia="Arial" w:cstheme="minorHAnsi"/>
          <w:color w:val="000000" w:themeColor="text1"/>
          <w:highlight w:val="green"/>
        </w:rPr>
        <w:t xml:space="preserve">and by working to strengthen country capacities to conduct clinical trials that </w:t>
      </w:r>
      <w:r w:rsidR="00C00D2A" w:rsidRPr="000003F8">
        <w:rPr>
          <w:rFonts w:eastAsia="Arial" w:cstheme="minorHAnsi"/>
          <w:color w:val="000000" w:themeColor="text1"/>
          <w:highlight w:val="green"/>
        </w:rPr>
        <w:t xml:space="preserve">provide </w:t>
      </w:r>
      <w:r w:rsidR="004B69A3" w:rsidRPr="000003F8">
        <w:rPr>
          <w:rFonts w:eastAsia="Arial" w:cstheme="minorHAnsi"/>
          <w:color w:val="000000" w:themeColor="text1"/>
          <w:highlight w:val="green"/>
        </w:rPr>
        <w:t xml:space="preserve">the </w:t>
      </w:r>
      <w:r w:rsidR="00C00D2A" w:rsidRPr="000003F8">
        <w:rPr>
          <w:rFonts w:eastAsia="Arial" w:cstheme="minorHAnsi"/>
          <w:color w:val="000000" w:themeColor="text1"/>
          <w:highlight w:val="green"/>
        </w:rPr>
        <w:t>highest human subjects protections</w:t>
      </w:r>
      <w:r w:rsidR="00BC1119" w:rsidRPr="000003F8">
        <w:rPr>
          <w:rFonts w:eastAsia="Arial" w:cstheme="minorHAnsi"/>
          <w:color w:val="000000" w:themeColor="text1"/>
          <w:highlight w:val="green"/>
        </w:rPr>
        <w:t xml:space="preserve"> </w:t>
      </w:r>
      <w:r w:rsidR="00C00D2A" w:rsidRPr="000003F8">
        <w:rPr>
          <w:rFonts w:eastAsia="Arial" w:cstheme="minorHAnsi"/>
          <w:color w:val="000000" w:themeColor="text1"/>
          <w:highlight w:val="green"/>
        </w:rPr>
        <w:t xml:space="preserve">and </w:t>
      </w:r>
      <w:r w:rsidRPr="000003F8">
        <w:rPr>
          <w:rFonts w:eastAsia="Arial" w:cstheme="minorHAnsi"/>
          <w:color w:val="000000" w:themeColor="text1"/>
          <w:highlight w:val="green"/>
        </w:rPr>
        <w:t xml:space="preserve">meet </w:t>
      </w:r>
      <w:r w:rsidR="00303B6B" w:rsidRPr="000003F8">
        <w:rPr>
          <w:rFonts w:eastAsia="Arial" w:cstheme="minorHAnsi"/>
          <w:color w:val="000000" w:themeColor="text1"/>
          <w:highlight w:val="green"/>
        </w:rPr>
        <w:t xml:space="preserve">relevant </w:t>
      </w:r>
      <w:r w:rsidR="00E5381F" w:rsidRPr="000003F8">
        <w:rPr>
          <w:rFonts w:eastAsia="Arial" w:cstheme="minorHAnsi"/>
          <w:color w:val="000000" w:themeColor="text1"/>
          <w:highlight w:val="green"/>
        </w:rPr>
        <w:t xml:space="preserve">regulations and internationally harmonized </w:t>
      </w:r>
      <w:r w:rsidRPr="000003F8">
        <w:rPr>
          <w:rFonts w:eastAsia="Arial" w:cstheme="minorHAnsi"/>
          <w:color w:val="000000" w:themeColor="text1"/>
          <w:highlight w:val="green"/>
        </w:rPr>
        <w:t xml:space="preserve">standards </w:t>
      </w:r>
      <w:r w:rsidR="00E5381F" w:rsidRPr="000003F8">
        <w:rPr>
          <w:rFonts w:eastAsia="Arial" w:cstheme="minorHAnsi"/>
          <w:color w:val="000000" w:themeColor="text1"/>
          <w:highlight w:val="green"/>
        </w:rPr>
        <w:t>by considering</w:t>
      </w:r>
      <w:r w:rsidR="008071F7">
        <w:rPr>
          <w:rFonts w:eastAsia="Arial" w:cstheme="minorHAnsi"/>
        </w:rPr>
        <w:t>:</w:t>
      </w:r>
      <w:r w:rsidRPr="000003F8">
        <w:rPr>
          <w:rFonts w:eastAsia="Arial" w:cstheme="minorHAnsi"/>
        </w:rPr>
        <w:t xml:space="preserve"> </w:t>
      </w:r>
      <w:bookmarkStart w:id="0" w:name="_Hlk99116931"/>
    </w:p>
    <w:p w14:paraId="23479F50" w14:textId="4B9B5A8B" w:rsidR="4A234489" w:rsidRPr="000003F8" w:rsidRDefault="00302E9F" w:rsidP="008071F7">
      <w:pPr>
        <w:numPr>
          <w:ilvl w:val="0"/>
          <w:numId w:val="12"/>
        </w:numPr>
        <w:spacing w:before="120" w:after="0" w:line="240" w:lineRule="auto"/>
        <w:ind w:left="1440"/>
        <w:rPr>
          <w:rFonts w:cstheme="minorHAnsi"/>
          <w:highlight w:val="green"/>
        </w:rPr>
      </w:pPr>
      <w:r w:rsidRPr="000003F8">
        <w:rPr>
          <w:rFonts w:eastAsia="Arial" w:cstheme="minorHAnsi"/>
          <w:highlight w:val="green"/>
        </w:rPr>
        <w:t>s</w:t>
      </w:r>
      <w:r w:rsidR="4A234489" w:rsidRPr="000003F8">
        <w:rPr>
          <w:rFonts w:eastAsia="Arial" w:cstheme="minorHAnsi"/>
          <w:color w:val="000000" w:themeColor="text1"/>
          <w:highlight w:val="green"/>
        </w:rPr>
        <w:t>ystematic assessment of country level clinical trial capabilities to promote the ability to conduct rigorous clinical trials compliant with international guidelines and the ability to safeguard human subjects</w:t>
      </w:r>
      <w:r w:rsidR="4A234489" w:rsidRPr="000003F8">
        <w:rPr>
          <w:rFonts w:eastAsia="Arial" w:cstheme="minorHAnsi"/>
          <w:highlight w:val="green"/>
        </w:rPr>
        <w:t xml:space="preserve">; </w:t>
      </w:r>
    </w:p>
    <w:p w14:paraId="415AB0E4" w14:textId="51C73D7D" w:rsidR="007A7B78" w:rsidRPr="000003F8" w:rsidRDefault="6351A1F6" w:rsidP="008071F7">
      <w:pPr>
        <w:pStyle w:val="ListParagraph"/>
        <w:numPr>
          <w:ilvl w:val="0"/>
          <w:numId w:val="12"/>
        </w:numPr>
        <w:spacing w:before="120" w:after="0" w:line="240" w:lineRule="auto"/>
        <w:ind w:left="1440"/>
        <w:contextualSpacing w:val="0"/>
        <w:rPr>
          <w:rFonts w:cstheme="minorHAnsi"/>
          <w:color w:val="000000" w:themeColor="text1"/>
          <w:highlight w:val="green"/>
        </w:rPr>
      </w:pPr>
      <w:r w:rsidRPr="000003F8">
        <w:rPr>
          <w:rFonts w:eastAsia="Arial" w:cstheme="minorHAnsi"/>
          <w:color w:val="000000" w:themeColor="text1"/>
          <w:highlight w:val="green"/>
        </w:rPr>
        <w:t>strengthened global clinical trial capabilities</w:t>
      </w:r>
      <w:r w:rsidR="00DF7A4E" w:rsidRPr="000003F8">
        <w:rPr>
          <w:rFonts w:eastAsia="Arial" w:cstheme="minorHAnsi"/>
          <w:color w:val="000000" w:themeColor="text1"/>
          <w:highlight w:val="green"/>
        </w:rPr>
        <w:t>,</w:t>
      </w:r>
      <w:r w:rsidR="00302E9F" w:rsidRPr="000003F8">
        <w:rPr>
          <w:rFonts w:eastAsia="Arial" w:cstheme="minorHAnsi"/>
          <w:color w:val="000000" w:themeColor="text1"/>
          <w:highlight w:val="green"/>
        </w:rPr>
        <w:t xml:space="preserve"> </w:t>
      </w:r>
      <w:r w:rsidR="00260EDC" w:rsidRPr="000003F8">
        <w:rPr>
          <w:rFonts w:eastAsia="Arial" w:cstheme="minorHAnsi"/>
          <w:color w:val="000000" w:themeColor="text1"/>
          <w:highlight w:val="green"/>
        </w:rPr>
        <w:t xml:space="preserve">in coordination with </w:t>
      </w:r>
      <w:r w:rsidRPr="000003F8">
        <w:rPr>
          <w:rFonts w:eastAsia="Arial" w:cstheme="minorHAnsi"/>
          <w:color w:val="000000" w:themeColor="text1"/>
          <w:highlight w:val="green"/>
        </w:rPr>
        <w:t>existing organizations and structures</w:t>
      </w:r>
      <w:r w:rsidR="00DF7A4E" w:rsidRPr="000003F8">
        <w:rPr>
          <w:rFonts w:eastAsia="Arial" w:cstheme="minorHAnsi"/>
          <w:color w:val="000000" w:themeColor="text1"/>
          <w:highlight w:val="green"/>
        </w:rPr>
        <w:t>,</w:t>
      </w:r>
      <w:r w:rsidR="00201493" w:rsidRPr="000003F8">
        <w:rPr>
          <w:rFonts w:eastAsia="Arial" w:cstheme="minorHAnsi"/>
          <w:color w:val="000000" w:themeColor="text1"/>
          <w:highlight w:val="green"/>
        </w:rPr>
        <w:t xml:space="preserve"> </w:t>
      </w:r>
      <w:r w:rsidRPr="000003F8">
        <w:rPr>
          <w:rFonts w:eastAsia="Arial" w:cstheme="minorHAnsi"/>
          <w:color w:val="000000" w:themeColor="text1"/>
          <w:highlight w:val="green"/>
        </w:rPr>
        <w:t>in order to promote well-designed and well-implemented clinical trials which produce high-quality evidence, as well as to ensure trials are designed to reflect the heterogeneity of those who will ultimately use or benefit from the intervention being evaluated</w:t>
      </w:r>
      <w:r w:rsidR="004F6D2D" w:rsidRPr="000003F8">
        <w:rPr>
          <w:rFonts w:eastAsia="Arial" w:cstheme="minorHAnsi"/>
          <w:color w:val="000000" w:themeColor="text1"/>
          <w:highlight w:val="green"/>
        </w:rPr>
        <w:t>,</w:t>
      </w:r>
      <w:r w:rsidRPr="000003F8">
        <w:rPr>
          <w:rFonts w:eastAsia="Arial" w:cstheme="minorHAnsi"/>
          <w:color w:val="000000" w:themeColor="text1"/>
          <w:highlight w:val="green"/>
        </w:rPr>
        <w:t xml:space="preserve"> </w:t>
      </w:r>
      <w:r w:rsidR="00DF7A4E" w:rsidRPr="000003F8">
        <w:rPr>
          <w:rFonts w:eastAsia="Arial" w:cstheme="minorHAnsi"/>
          <w:color w:val="000000" w:themeColor="text1"/>
          <w:highlight w:val="green"/>
        </w:rPr>
        <w:t xml:space="preserve">and </w:t>
      </w:r>
      <w:r w:rsidRPr="000003F8">
        <w:rPr>
          <w:rFonts w:eastAsia="Arial" w:cstheme="minorHAnsi"/>
          <w:color w:val="000000" w:themeColor="text1"/>
          <w:highlight w:val="green"/>
        </w:rPr>
        <w:t>are conducted in diverse settings, including all major population groups the intervention is intended to benefit, with a particular focus on under-represented populations</w:t>
      </w:r>
      <w:r w:rsidR="004F6D2D" w:rsidRPr="000003F8">
        <w:rPr>
          <w:rFonts w:eastAsia="Arial" w:cstheme="minorHAnsi"/>
          <w:color w:val="000000" w:themeColor="text1"/>
          <w:highlight w:val="green"/>
        </w:rPr>
        <w:t>;</w:t>
      </w:r>
    </w:p>
    <w:p w14:paraId="35F73C5B" w14:textId="2C3C29F6" w:rsidR="00A60402" w:rsidRPr="000003F8" w:rsidRDefault="4A234489" w:rsidP="008071F7">
      <w:pPr>
        <w:pStyle w:val="ListParagraph"/>
        <w:numPr>
          <w:ilvl w:val="0"/>
          <w:numId w:val="12"/>
        </w:numPr>
        <w:spacing w:before="120" w:after="0" w:line="240" w:lineRule="auto"/>
        <w:ind w:left="1440" w:hanging="357"/>
        <w:contextualSpacing w:val="0"/>
        <w:rPr>
          <w:rFonts w:cstheme="minorHAnsi"/>
          <w:highlight w:val="green"/>
        </w:rPr>
      </w:pPr>
      <w:r w:rsidRPr="000003F8">
        <w:rPr>
          <w:rFonts w:eastAsia="Arial" w:cstheme="minorHAnsi"/>
          <w:color w:val="000000" w:themeColor="text1"/>
          <w:highlight w:val="green"/>
        </w:rPr>
        <w:t>where possible, inclusion of all trial stakeholders</w:t>
      </w:r>
      <w:r w:rsidR="001F5652" w:rsidRPr="000003F8">
        <w:rPr>
          <w:rFonts w:eastAsia="Arial" w:cstheme="minorHAnsi"/>
          <w:color w:val="000000" w:themeColor="text1"/>
          <w:highlight w:val="green"/>
        </w:rPr>
        <w:t>,</w:t>
      </w:r>
      <w:r w:rsidRPr="000003F8">
        <w:rPr>
          <w:rFonts w:eastAsia="Arial" w:cstheme="minorHAnsi"/>
          <w:color w:val="000000" w:themeColor="text1"/>
          <w:highlight w:val="green"/>
        </w:rPr>
        <w:t xml:space="preserve"> </w:t>
      </w:r>
      <w:r w:rsidR="001F5652" w:rsidRPr="000003F8">
        <w:rPr>
          <w:rFonts w:eastAsia="Arial" w:cstheme="minorHAnsi"/>
          <w:color w:val="000000" w:themeColor="text1"/>
          <w:highlight w:val="green"/>
        </w:rPr>
        <w:t xml:space="preserve">including representatives of patient groups, </w:t>
      </w:r>
      <w:r w:rsidRPr="000003F8">
        <w:rPr>
          <w:rFonts w:eastAsia="Arial" w:cstheme="minorHAnsi"/>
          <w:color w:val="000000" w:themeColor="text1"/>
          <w:highlight w:val="green"/>
        </w:rPr>
        <w:t xml:space="preserve">according to </w:t>
      </w:r>
      <w:r w:rsidR="00663F9E" w:rsidRPr="000003F8">
        <w:rPr>
          <w:rFonts w:eastAsia="Arial" w:cstheme="minorHAnsi"/>
          <w:highlight w:val="green"/>
        </w:rPr>
        <w:t xml:space="preserve">best </w:t>
      </w:r>
      <w:r w:rsidRPr="000003F8">
        <w:rPr>
          <w:rFonts w:eastAsia="Arial" w:cstheme="minorHAnsi"/>
          <w:color w:val="000000" w:themeColor="text1"/>
          <w:highlight w:val="green"/>
        </w:rPr>
        <w:t>practices in the development of clinical trials with affected communities to ensure that the health interventions address their needs, such as solutions on neglected tropical diseases</w:t>
      </w:r>
      <w:r w:rsidRPr="000003F8">
        <w:rPr>
          <w:rFonts w:eastAsia="Arial" w:cstheme="minorHAnsi"/>
          <w:highlight w:val="green"/>
        </w:rPr>
        <w:t>;</w:t>
      </w:r>
      <w:r w:rsidR="00A60402" w:rsidRPr="000003F8">
        <w:rPr>
          <w:rFonts w:eastAsia="Arial" w:cstheme="minorHAnsi"/>
          <w:highlight w:val="green"/>
        </w:rPr>
        <w:t xml:space="preserve"> </w:t>
      </w:r>
    </w:p>
    <w:p w14:paraId="4EA7BEF6" w14:textId="2FCAE665" w:rsidR="0062157C" w:rsidRPr="000003F8" w:rsidRDefault="00D6756D" w:rsidP="008071F7">
      <w:pPr>
        <w:numPr>
          <w:ilvl w:val="0"/>
          <w:numId w:val="12"/>
        </w:numPr>
        <w:spacing w:before="120" w:after="0" w:line="240" w:lineRule="auto"/>
        <w:ind w:left="1440" w:hanging="357"/>
        <w:rPr>
          <w:rFonts w:cstheme="minorHAnsi"/>
          <w:highlight w:val="green"/>
        </w:rPr>
      </w:pPr>
      <w:r w:rsidRPr="000003F8">
        <w:rPr>
          <w:rFonts w:cstheme="minorHAnsi"/>
          <w:color w:val="000000" w:themeColor="text1"/>
          <w:highlight w:val="green"/>
        </w:rPr>
        <w:t>that</w:t>
      </w:r>
      <w:r w:rsidR="00F93AB4" w:rsidRPr="000003F8">
        <w:rPr>
          <w:rFonts w:cstheme="minorHAnsi"/>
          <w:color w:val="000000" w:themeColor="text1"/>
          <w:highlight w:val="green"/>
        </w:rPr>
        <w:t xml:space="preserve"> </w:t>
      </w:r>
      <w:r w:rsidR="0062157C" w:rsidRPr="000003F8">
        <w:rPr>
          <w:rFonts w:cstheme="minorHAnsi"/>
          <w:color w:val="000000" w:themeColor="text1"/>
          <w:highlight w:val="green"/>
        </w:rPr>
        <w:t xml:space="preserve">clinical trial participants </w:t>
      </w:r>
      <w:r w:rsidR="00650C2B" w:rsidRPr="000003F8">
        <w:rPr>
          <w:rFonts w:cstheme="minorHAnsi"/>
          <w:color w:val="000000" w:themeColor="text1"/>
          <w:highlight w:val="green"/>
        </w:rPr>
        <w:t xml:space="preserve">include all major population groups </w:t>
      </w:r>
      <w:r w:rsidR="002C670B" w:rsidRPr="000003F8">
        <w:rPr>
          <w:rFonts w:cstheme="minorHAnsi"/>
          <w:color w:val="000000" w:themeColor="text1"/>
          <w:highlight w:val="green"/>
        </w:rPr>
        <w:t xml:space="preserve">which </w:t>
      </w:r>
      <w:r w:rsidR="0062157C" w:rsidRPr="000003F8">
        <w:rPr>
          <w:rFonts w:cstheme="minorHAnsi"/>
          <w:color w:val="000000" w:themeColor="text1"/>
          <w:highlight w:val="green"/>
        </w:rPr>
        <w:t>the intervention is intended to benefit</w:t>
      </w:r>
      <w:r w:rsidR="002C670B" w:rsidRPr="000003F8">
        <w:rPr>
          <w:rFonts w:cstheme="minorHAnsi"/>
          <w:highlight w:val="green"/>
        </w:rPr>
        <w:t>;</w:t>
      </w:r>
    </w:p>
    <w:p w14:paraId="230E60E8" w14:textId="0396E985" w:rsidR="00681F12" w:rsidRPr="000003F8" w:rsidRDefault="00637D67" w:rsidP="008071F7">
      <w:pPr>
        <w:numPr>
          <w:ilvl w:val="0"/>
          <w:numId w:val="12"/>
        </w:numPr>
        <w:spacing w:before="120" w:after="0" w:line="240" w:lineRule="auto"/>
        <w:ind w:left="1440"/>
        <w:rPr>
          <w:rFonts w:cstheme="minorHAnsi"/>
          <w:highlight w:val="green"/>
        </w:rPr>
      </w:pPr>
      <w:r w:rsidRPr="000003F8">
        <w:rPr>
          <w:rFonts w:cstheme="minorHAnsi"/>
          <w:color w:val="000000" w:themeColor="text1"/>
          <w:highlight w:val="green"/>
        </w:rPr>
        <w:t xml:space="preserve">promoting </w:t>
      </w:r>
      <w:r w:rsidR="0062157C" w:rsidRPr="000003F8">
        <w:rPr>
          <w:rFonts w:cstheme="minorHAnsi"/>
          <w:color w:val="000000" w:themeColor="text1"/>
          <w:highlight w:val="green"/>
        </w:rPr>
        <w:t xml:space="preserve">transparent </w:t>
      </w:r>
      <w:r w:rsidR="003F77F3" w:rsidRPr="000003F8">
        <w:rPr>
          <w:rFonts w:cstheme="minorHAnsi"/>
          <w:color w:val="000000" w:themeColor="text1"/>
          <w:highlight w:val="green"/>
        </w:rPr>
        <w:t xml:space="preserve">and voluntary </w:t>
      </w:r>
      <w:r w:rsidR="0062157C" w:rsidRPr="000003F8">
        <w:rPr>
          <w:rFonts w:cstheme="minorHAnsi"/>
          <w:color w:val="000000" w:themeColor="text1"/>
          <w:highlight w:val="green"/>
        </w:rPr>
        <w:t>sharing</w:t>
      </w:r>
      <w:r w:rsidRPr="000003F8">
        <w:rPr>
          <w:rFonts w:cstheme="minorHAnsi"/>
          <w:color w:val="000000" w:themeColor="text1"/>
          <w:highlight w:val="green"/>
        </w:rPr>
        <w:t xml:space="preserve">, while ensuring information </w:t>
      </w:r>
      <w:r w:rsidR="00AD7DE8" w:rsidRPr="000003F8">
        <w:rPr>
          <w:rFonts w:cstheme="minorHAnsi"/>
          <w:color w:val="000000" w:themeColor="text1"/>
          <w:highlight w:val="green"/>
        </w:rPr>
        <w:t xml:space="preserve">and data </w:t>
      </w:r>
      <w:r w:rsidR="00844152" w:rsidRPr="000003F8">
        <w:rPr>
          <w:rFonts w:cstheme="minorHAnsi"/>
          <w:color w:val="000000" w:themeColor="text1"/>
          <w:highlight w:val="green"/>
        </w:rPr>
        <w:t>security</w:t>
      </w:r>
      <w:r w:rsidR="00AD7DE8" w:rsidRPr="000003F8">
        <w:rPr>
          <w:rFonts w:cstheme="minorHAnsi"/>
          <w:color w:val="000000" w:themeColor="text1"/>
          <w:highlight w:val="green"/>
        </w:rPr>
        <w:t>,</w:t>
      </w:r>
      <w:r w:rsidR="00844152" w:rsidRPr="000003F8">
        <w:rPr>
          <w:rFonts w:cstheme="minorHAnsi"/>
          <w:color w:val="000000" w:themeColor="text1"/>
          <w:highlight w:val="green"/>
        </w:rPr>
        <w:t xml:space="preserve"> </w:t>
      </w:r>
      <w:r w:rsidR="0062157C" w:rsidRPr="000003F8">
        <w:rPr>
          <w:rFonts w:cstheme="minorHAnsi"/>
          <w:color w:val="000000" w:themeColor="text1"/>
          <w:highlight w:val="green"/>
        </w:rPr>
        <w:t>both of well-designed clinical trial methodologies and the results of clinical trials</w:t>
      </w:r>
      <w:r w:rsidR="002C670B" w:rsidRPr="000003F8">
        <w:rPr>
          <w:rFonts w:cstheme="minorHAnsi"/>
          <w:color w:val="000000" w:themeColor="text1"/>
          <w:highlight w:val="green"/>
        </w:rPr>
        <w:t xml:space="preserve">, including negative results, </w:t>
      </w:r>
      <w:r w:rsidR="0062157C" w:rsidRPr="000003F8">
        <w:rPr>
          <w:rFonts w:cstheme="minorHAnsi"/>
          <w:color w:val="000000" w:themeColor="text1"/>
          <w:highlight w:val="green"/>
        </w:rPr>
        <w:t>through open</w:t>
      </w:r>
      <w:r w:rsidR="00342F54" w:rsidRPr="000003F8">
        <w:rPr>
          <w:rFonts w:cstheme="minorHAnsi"/>
          <w:color w:val="000000" w:themeColor="text1"/>
          <w:highlight w:val="green"/>
        </w:rPr>
        <w:t>-</w:t>
      </w:r>
      <w:r w:rsidR="0062157C" w:rsidRPr="000003F8">
        <w:rPr>
          <w:rFonts w:cstheme="minorHAnsi"/>
          <w:color w:val="000000" w:themeColor="text1"/>
          <w:highlight w:val="green"/>
        </w:rPr>
        <w:t>source methods internationally to enable capability building in diverse settings</w:t>
      </w:r>
      <w:r w:rsidR="004C604B" w:rsidRPr="000003F8">
        <w:rPr>
          <w:rFonts w:cstheme="minorHAnsi"/>
          <w:highlight w:val="green"/>
        </w:rPr>
        <w:t>;</w:t>
      </w:r>
    </w:p>
    <w:p w14:paraId="4F894F69" w14:textId="0C618CDE" w:rsidR="008A67DA" w:rsidRPr="000003F8" w:rsidRDefault="008A67DA" w:rsidP="008071F7">
      <w:pPr>
        <w:numPr>
          <w:ilvl w:val="0"/>
          <w:numId w:val="12"/>
        </w:numPr>
        <w:spacing w:before="120" w:after="0" w:line="240" w:lineRule="auto"/>
        <w:ind w:left="1440"/>
        <w:rPr>
          <w:rFonts w:cstheme="minorHAnsi"/>
          <w:highlight w:val="green"/>
        </w:rPr>
      </w:pPr>
      <w:r w:rsidRPr="000003F8">
        <w:rPr>
          <w:rFonts w:cstheme="minorHAnsi"/>
          <w:color w:val="000000" w:themeColor="text1"/>
          <w:highlight w:val="green"/>
        </w:rPr>
        <w:t>that regulatory measures and other related processes be solidly defined and implemented, including for public health emergencies of international concern;</w:t>
      </w:r>
    </w:p>
    <w:bookmarkEnd w:id="0"/>
    <w:p w14:paraId="173A80BD" w14:textId="0A3EC533" w:rsidR="228AAB2D" w:rsidRPr="000003F8" w:rsidRDefault="6F19EC5D" w:rsidP="00120BD3">
      <w:pPr>
        <w:spacing w:before="120" w:after="0" w:line="240" w:lineRule="auto"/>
        <w:rPr>
          <w:rFonts w:cstheme="minorHAnsi"/>
        </w:rPr>
      </w:pPr>
      <w:r w:rsidRPr="00480AE1">
        <w:rPr>
          <w:rFonts w:cstheme="minorHAnsi"/>
          <w:i/>
          <w:iCs/>
          <w:highlight w:val="green"/>
        </w:rPr>
        <w:t>Recognizing</w:t>
      </w:r>
      <w:r w:rsidRPr="000003F8">
        <w:rPr>
          <w:rFonts w:cstheme="minorHAnsi"/>
          <w:highlight w:val="green"/>
        </w:rPr>
        <w:t xml:space="preserve"> that </w:t>
      </w:r>
      <w:r w:rsidR="00201493" w:rsidRPr="000003F8">
        <w:rPr>
          <w:rFonts w:cstheme="minorHAnsi"/>
          <w:highlight w:val="green"/>
        </w:rPr>
        <w:t xml:space="preserve">data from </w:t>
      </w:r>
      <w:r w:rsidRPr="000003F8">
        <w:rPr>
          <w:rFonts w:cstheme="minorHAnsi"/>
          <w:highlight w:val="green"/>
        </w:rPr>
        <w:t>clinic</w:t>
      </w:r>
      <w:r w:rsidR="59858DE1" w:rsidRPr="000003F8">
        <w:rPr>
          <w:rFonts w:cstheme="minorHAnsi"/>
          <w:highlight w:val="green"/>
        </w:rPr>
        <w:t xml:space="preserve">al trials play an important role in informing cost-effectiveness assessments of </w:t>
      </w:r>
      <w:r w:rsidR="00671F8D" w:rsidRPr="000003F8">
        <w:rPr>
          <w:rFonts w:cstheme="minorHAnsi"/>
          <w:highlight w:val="green"/>
        </w:rPr>
        <w:t xml:space="preserve">new </w:t>
      </w:r>
      <w:r w:rsidR="59858DE1" w:rsidRPr="000003F8">
        <w:rPr>
          <w:rFonts w:cstheme="minorHAnsi"/>
          <w:highlight w:val="green"/>
        </w:rPr>
        <w:t>health interventions</w:t>
      </w:r>
      <w:r w:rsidR="00671F8D" w:rsidRPr="000003F8">
        <w:rPr>
          <w:rFonts w:cstheme="minorHAnsi"/>
          <w:highlight w:val="green"/>
        </w:rPr>
        <w:t xml:space="preserve"> and their comparison with existing interventions in order to assess </w:t>
      </w:r>
      <w:r w:rsidR="00764ED7" w:rsidRPr="000003F8">
        <w:rPr>
          <w:rFonts w:cstheme="minorHAnsi"/>
          <w:highlight w:val="green"/>
        </w:rPr>
        <w:t xml:space="preserve">their </w:t>
      </w:r>
      <w:r w:rsidR="00671F8D" w:rsidRPr="000003F8">
        <w:rPr>
          <w:rFonts w:cstheme="minorHAnsi"/>
          <w:highlight w:val="green"/>
        </w:rPr>
        <w:t>affordability within the context of national health systems</w:t>
      </w:r>
      <w:r w:rsidR="59858DE1" w:rsidRPr="000003F8">
        <w:rPr>
          <w:rFonts w:cstheme="minorHAnsi"/>
          <w:highlight w:val="green"/>
        </w:rPr>
        <w:t>;</w:t>
      </w:r>
      <w:r w:rsidR="00844152" w:rsidRPr="000003F8">
        <w:rPr>
          <w:rFonts w:cstheme="minorHAnsi"/>
        </w:rPr>
        <w:t xml:space="preserve"> </w:t>
      </w:r>
    </w:p>
    <w:p w14:paraId="4139A272" w14:textId="77777777" w:rsidR="00033BB5" w:rsidRPr="000003F8" w:rsidRDefault="00033BB5" w:rsidP="00120BD3">
      <w:pPr>
        <w:spacing w:before="120" w:after="0" w:line="240" w:lineRule="auto"/>
        <w:rPr>
          <w:rFonts w:cstheme="minorHAnsi"/>
          <w:highlight w:val="darkCyan"/>
        </w:rPr>
      </w:pPr>
    </w:p>
    <w:p w14:paraId="47AECD91" w14:textId="6F72B7ED" w:rsidR="005238A1" w:rsidRPr="000003F8" w:rsidRDefault="005D1B34" w:rsidP="00120BD3">
      <w:pPr>
        <w:spacing w:before="120" w:after="0" w:line="240" w:lineRule="auto"/>
        <w:rPr>
          <w:rFonts w:cstheme="minorHAnsi"/>
          <w:b/>
          <w:bCs/>
        </w:rPr>
      </w:pPr>
      <w:r w:rsidRPr="000003F8">
        <w:rPr>
          <w:rFonts w:cstheme="minorHAnsi"/>
          <w:b/>
          <w:bCs/>
          <w:highlight w:val="green"/>
        </w:rPr>
        <w:t>1</w:t>
      </w:r>
      <w:r w:rsidR="00A73C97" w:rsidRPr="000003F8">
        <w:rPr>
          <w:rFonts w:cstheme="minorHAnsi"/>
          <w:b/>
          <w:bCs/>
          <w:highlight w:val="green"/>
        </w:rPr>
        <w:t>.</w:t>
      </w:r>
      <w:r w:rsidRPr="000003F8">
        <w:rPr>
          <w:rFonts w:cstheme="minorHAnsi"/>
          <w:b/>
          <w:bCs/>
          <w:highlight w:val="green"/>
        </w:rPr>
        <w:tab/>
      </w:r>
      <w:r w:rsidR="00A77272" w:rsidRPr="000003F8">
        <w:rPr>
          <w:rFonts w:cstheme="minorHAnsi"/>
          <w:b/>
          <w:bCs/>
          <w:highlight w:val="green"/>
        </w:rPr>
        <w:t xml:space="preserve">CALLS ON </w:t>
      </w:r>
      <w:r w:rsidR="0062157C" w:rsidRPr="000003F8">
        <w:rPr>
          <w:rFonts w:cstheme="minorHAnsi"/>
          <w:b/>
          <w:bCs/>
          <w:highlight w:val="green"/>
        </w:rPr>
        <w:t>Member States</w:t>
      </w:r>
      <w:r w:rsidR="0062157C" w:rsidRPr="000003F8">
        <w:rPr>
          <w:rStyle w:val="FootnoteReference"/>
          <w:rFonts w:cstheme="minorHAnsi"/>
          <w:b/>
          <w:bCs/>
          <w:highlight w:val="green"/>
        </w:rPr>
        <w:footnoteReference w:id="5"/>
      </w:r>
      <w:r w:rsidR="0062157C" w:rsidRPr="000003F8">
        <w:rPr>
          <w:rFonts w:cstheme="minorHAnsi"/>
          <w:b/>
          <w:bCs/>
          <w:highlight w:val="green"/>
        </w:rPr>
        <w:t>, in accordance with their national and regional legal and regulatory frameworks and contexts and as appropriate:</w:t>
      </w:r>
      <w:r w:rsidR="0062157C" w:rsidRPr="000003F8">
        <w:rPr>
          <w:rFonts w:cstheme="minorHAnsi"/>
          <w:b/>
          <w:bCs/>
        </w:rPr>
        <w:t xml:space="preserve"> </w:t>
      </w:r>
    </w:p>
    <w:p w14:paraId="4A1E4A6D" w14:textId="1309AA3F" w:rsidR="00A10C12" w:rsidRPr="000003F8" w:rsidRDefault="00033BB5" w:rsidP="00A73C97">
      <w:pPr>
        <w:pStyle w:val="ListParagraph"/>
        <w:numPr>
          <w:ilvl w:val="0"/>
          <w:numId w:val="28"/>
        </w:numPr>
        <w:spacing w:before="120" w:after="0" w:line="240" w:lineRule="auto"/>
        <w:rPr>
          <w:rFonts w:cstheme="minorHAnsi"/>
        </w:rPr>
      </w:pPr>
      <w:r w:rsidRPr="000003F8">
        <w:rPr>
          <w:rFonts w:cstheme="minorHAnsi"/>
          <w:highlight w:val="green"/>
        </w:rPr>
        <w:t>to p</w:t>
      </w:r>
      <w:r w:rsidR="00A10C12" w:rsidRPr="000003F8">
        <w:rPr>
          <w:rFonts w:cstheme="minorHAnsi"/>
          <w:highlight w:val="green"/>
        </w:rPr>
        <w:t xml:space="preserve">rioritise the development and strengthening of national clinical trial capabilities able to comply with international standards of trial design and conduct </w:t>
      </w:r>
      <w:r w:rsidR="00252117" w:rsidRPr="000003F8">
        <w:rPr>
          <w:rFonts w:cstheme="minorHAnsi"/>
          <w:highlight w:val="green"/>
        </w:rPr>
        <w:t>and human subject protections</w:t>
      </w:r>
      <w:r w:rsidR="00792A10" w:rsidRPr="000003F8">
        <w:rPr>
          <w:rFonts w:cstheme="minorHAnsi"/>
          <w:highlight w:val="green"/>
        </w:rPr>
        <w:t xml:space="preserve"> </w:t>
      </w:r>
      <w:r w:rsidR="00A10C12" w:rsidRPr="000003F8">
        <w:rPr>
          <w:rFonts w:cstheme="minorHAnsi"/>
          <w:highlight w:val="green"/>
        </w:rPr>
        <w:t>as well as strengthening and developing national regulatory and quality control frameworks and authorities</w:t>
      </w:r>
      <w:r w:rsidR="000C6689" w:rsidRPr="000003F8">
        <w:rPr>
          <w:rFonts w:cstheme="minorHAnsi"/>
          <w:highlight w:val="green"/>
        </w:rPr>
        <w:t>;</w:t>
      </w:r>
    </w:p>
    <w:p w14:paraId="4C092C63" w14:textId="60ED4DE2" w:rsidR="00B81B75" w:rsidRPr="000003F8" w:rsidRDefault="00033BB5" w:rsidP="00A73C97">
      <w:pPr>
        <w:pStyle w:val="ListParagraph"/>
        <w:numPr>
          <w:ilvl w:val="0"/>
          <w:numId w:val="28"/>
        </w:numPr>
        <w:spacing w:before="120" w:after="0" w:line="240" w:lineRule="auto"/>
        <w:rPr>
          <w:rFonts w:eastAsia="Arial" w:cstheme="minorHAnsi"/>
        </w:rPr>
      </w:pPr>
      <w:r w:rsidRPr="000003F8">
        <w:rPr>
          <w:rFonts w:eastAsia="Arial" w:cstheme="minorHAnsi"/>
          <w:highlight w:val="green"/>
        </w:rPr>
        <w:t>to i</w:t>
      </w:r>
      <w:r w:rsidR="00FA6BCC" w:rsidRPr="000003F8">
        <w:rPr>
          <w:rFonts w:eastAsia="Arial" w:cstheme="minorHAnsi"/>
          <w:highlight w:val="green"/>
        </w:rPr>
        <w:t xml:space="preserve">ncrease clinical trials capability, and strengthen clinical trials policy frameworks, particularly in developing countries, to enable a greater number of clinical trial sites that can conduct well-designed and well-implemented clinical trials, and to ensure readiness for coordination of trials through existing, new or expanded clinical trial networks, that meet </w:t>
      </w:r>
      <w:r w:rsidR="00252117" w:rsidRPr="000003F8">
        <w:rPr>
          <w:rFonts w:eastAsia="Arial" w:cstheme="minorHAnsi"/>
          <w:highlight w:val="green"/>
        </w:rPr>
        <w:t>relevant regulations and internationally harmonized standards</w:t>
      </w:r>
      <w:r w:rsidR="00B84AC2" w:rsidRPr="000003F8">
        <w:rPr>
          <w:rFonts w:eastAsia="Arial" w:cstheme="minorHAnsi"/>
          <w:highlight w:val="green"/>
        </w:rPr>
        <w:t>,</w:t>
      </w:r>
      <w:r w:rsidR="00FA6BCC" w:rsidRPr="000003F8">
        <w:rPr>
          <w:rFonts w:eastAsia="Arial" w:cstheme="minorHAnsi"/>
          <w:highlight w:val="green"/>
        </w:rPr>
        <w:t xml:space="preserve"> promoting sharing of </w:t>
      </w:r>
      <w:r w:rsidR="00252117" w:rsidRPr="000003F8">
        <w:rPr>
          <w:rFonts w:eastAsia="Arial" w:cstheme="minorHAnsi"/>
          <w:highlight w:val="green"/>
        </w:rPr>
        <w:t xml:space="preserve">information and </w:t>
      </w:r>
      <w:r w:rsidR="00FA6BCC" w:rsidRPr="000003F8">
        <w:rPr>
          <w:rFonts w:eastAsia="Arial" w:cstheme="minorHAnsi"/>
          <w:highlight w:val="green"/>
        </w:rPr>
        <w:t>best practices on efficient and ethical clinical trial design and delivery, and in designing, preparing and conducting clinical trials</w:t>
      </w:r>
      <w:r w:rsidR="00B84AC2" w:rsidRPr="000003F8">
        <w:rPr>
          <w:rFonts w:eastAsia="Arial" w:cstheme="minorHAnsi"/>
          <w:highlight w:val="green"/>
        </w:rPr>
        <w:t>;</w:t>
      </w:r>
    </w:p>
    <w:p w14:paraId="0AD1C327" w14:textId="217424E7" w:rsidR="00A73C97" w:rsidRPr="000003F8" w:rsidRDefault="00A73C97" w:rsidP="00A73C97">
      <w:pPr>
        <w:pStyle w:val="ListParagraph"/>
        <w:numPr>
          <w:ilvl w:val="0"/>
          <w:numId w:val="28"/>
        </w:numPr>
        <w:spacing w:before="120" w:after="0" w:line="240" w:lineRule="auto"/>
        <w:rPr>
          <w:rFonts w:eastAsia="Arial" w:cstheme="minorHAnsi"/>
        </w:rPr>
      </w:pPr>
      <w:r w:rsidRPr="000003F8">
        <w:rPr>
          <w:rFonts w:eastAsia="Arial" w:cstheme="minorHAnsi"/>
          <w:highlight w:val="green"/>
        </w:rPr>
        <w:t xml:space="preserve">to coordinate </w:t>
      </w:r>
      <w:r w:rsidRPr="000003F8">
        <w:rPr>
          <w:rFonts w:eastAsia="Times New Roman" w:cstheme="minorHAnsi"/>
          <w:color w:val="000000"/>
          <w:highlight w:val="green"/>
          <w:shd w:val="clear" w:color="auto" w:fill="C0C0C0"/>
          <w:lang w:val="en-US"/>
        </w:rPr>
        <w:t>clinical trials research priorities based on public health needs of Member States including collaborative, and as appropriate, multi-country and multi-regional clinical trials when mutually beneficial, while avoiding unnecessary duplication of work, taking into account that aligning clinical trials across countries will require preparatory work, including the coordination, as appropriate, in national regulatory practices and funding frameworks;</w:t>
      </w:r>
    </w:p>
    <w:p w14:paraId="7FB888E8" w14:textId="71CF86D2" w:rsidR="00A73C97" w:rsidRPr="000003F8" w:rsidRDefault="00A73C97" w:rsidP="00A73C97">
      <w:pPr>
        <w:pStyle w:val="ListParagraph"/>
        <w:numPr>
          <w:ilvl w:val="0"/>
          <w:numId w:val="28"/>
        </w:numPr>
        <w:spacing w:before="120" w:after="0" w:line="240" w:lineRule="auto"/>
        <w:rPr>
          <w:rFonts w:eastAsia="Arial" w:cstheme="minorHAnsi"/>
        </w:rPr>
      </w:pPr>
      <w:r w:rsidRPr="000003F8">
        <w:rPr>
          <w:rFonts w:cstheme="minorHAnsi"/>
          <w:highlight w:val="green"/>
        </w:rPr>
        <w:t>to</w:t>
      </w:r>
      <w:r w:rsidRPr="000003F8">
        <w:rPr>
          <w:rFonts w:cstheme="minorHAnsi"/>
          <w:b/>
          <w:bCs/>
          <w:highlight w:val="green"/>
        </w:rPr>
        <w:t xml:space="preserve"> </w:t>
      </w:r>
      <w:r w:rsidRPr="000003F8">
        <w:rPr>
          <w:rFonts w:cstheme="minorHAnsi"/>
          <w:highlight w:val="green"/>
        </w:rPr>
        <w:t xml:space="preserve">collaborate with private sector funders and academic institutions, while actively preventing and </w:t>
      </w:r>
      <w:r w:rsidRPr="000003F8">
        <w:rPr>
          <w:rFonts w:eastAsia="Arial" w:cstheme="minorHAnsi"/>
          <w:color w:val="000000" w:themeColor="text1"/>
          <w:highlight w:val="green"/>
        </w:rPr>
        <w:t xml:space="preserve">managing </w:t>
      </w:r>
      <w:r w:rsidRPr="000003F8">
        <w:rPr>
          <w:rFonts w:cstheme="minorHAnsi"/>
          <w:highlight w:val="green"/>
        </w:rPr>
        <w:t>conflicts of interest, to encourage the targeting of clinical trials towards the development of health interventions that address public health priorities and concerns of global, regional and national importance including communicable and non-communicable diseases, with a focus on the health needs of developing countries, and that evaluate the safety and efficacy of health interventions,</w:t>
      </w:r>
      <w:r w:rsidRPr="000003F8">
        <w:rPr>
          <w:rFonts w:cstheme="minorHAnsi"/>
          <w:b/>
          <w:bCs/>
          <w:highlight w:val="green"/>
        </w:rPr>
        <w:t xml:space="preserve"> </w:t>
      </w:r>
      <w:r w:rsidRPr="000003F8">
        <w:rPr>
          <w:rFonts w:cstheme="minorHAnsi"/>
          <w:highlight w:val="green"/>
        </w:rPr>
        <w:t>including having special regard to common diseases in LMICs, unmet medical needs, rare diseases and neglected tropical diseases;</w:t>
      </w:r>
    </w:p>
    <w:p w14:paraId="417420CC" w14:textId="55BC060B" w:rsidR="00A73C97" w:rsidRPr="000003F8" w:rsidRDefault="00A73C97" w:rsidP="00A73C97">
      <w:pPr>
        <w:pStyle w:val="ListParagraph"/>
        <w:numPr>
          <w:ilvl w:val="0"/>
          <w:numId w:val="28"/>
        </w:numPr>
        <w:spacing w:before="120" w:after="0" w:line="240" w:lineRule="auto"/>
        <w:rPr>
          <w:rFonts w:eastAsia="Arial" w:cstheme="minorHAnsi"/>
        </w:rPr>
      </w:pPr>
      <w:r w:rsidRPr="000003F8">
        <w:rPr>
          <w:rFonts w:cstheme="minorHAnsi"/>
          <w:highlight w:val="green"/>
        </w:rPr>
        <w:t>to note and, as appropriate, benefit from the potential role of regional organizations in coordinating clinical trials and recruiting participants;</w:t>
      </w:r>
    </w:p>
    <w:p w14:paraId="2940A5BF" w14:textId="2AA9ED5B" w:rsidR="00A73C97" w:rsidRPr="000003F8" w:rsidRDefault="00A73C97" w:rsidP="00A73C97">
      <w:pPr>
        <w:pStyle w:val="ListParagraph"/>
        <w:numPr>
          <w:ilvl w:val="0"/>
          <w:numId w:val="28"/>
        </w:numPr>
        <w:spacing w:before="120" w:after="0" w:line="240" w:lineRule="auto"/>
        <w:rPr>
          <w:rFonts w:eastAsia="Arial" w:cstheme="minorHAnsi"/>
        </w:rPr>
      </w:pPr>
      <w:r w:rsidRPr="000003F8">
        <w:rPr>
          <w:rFonts w:cstheme="minorHAnsi"/>
          <w:highlight w:val="green"/>
        </w:rPr>
        <w:t xml:space="preserve">to </w:t>
      </w:r>
      <w:r w:rsidRPr="000003F8">
        <w:rPr>
          <w:rFonts w:cstheme="minorHAnsi"/>
          <w:bCs/>
          <w:highlight w:val="green"/>
        </w:rPr>
        <w:t xml:space="preserve">encourage research funding agencies </w:t>
      </w:r>
      <w:r w:rsidRPr="000003F8">
        <w:rPr>
          <w:rFonts w:cstheme="minorHAnsi"/>
          <w:highlight w:val="green"/>
        </w:rPr>
        <w:t>to prioritise and fund clinical trials that are well-designed and well-implemented, conducted in diverse settings and include all major population groups the intervention is intended to benefit, have adequate statistical power, and relevant control groups and interventions in order to generate the scientifically robust and actionable evidence needed to inform public health policy, regulatory decisions, and medical practice while preventing underpowered, poorly-designed clinical trials and avoiding the exposure of clinical trials participants to unjustified and unnecessary risk, in normal times as well as in public health emergencies of international concern, including through:</w:t>
      </w:r>
    </w:p>
    <w:p w14:paraId="54038257" w14:textId="65373EF3" w:rsidR="00A73C97" w:rsidRPr="000003F8" w:rsidRDefault="00A73C97" w:rsidP="00A73C97">
      <w:pPr>
        <w:pStyle w:val="ListParagraph"/>
        <w:numPr>
          <w:ilvl w:val="1"/>
          <w:numId w:val="28"/>
        </w:numPr>
        <w:spacing w:before="120" w:after="0" w:line="240" w:lineRule="auto"/>
        <w:ind w:left="1440"/>
        <w:rPr>
          <w:rFonts w:eastAsia="Arial" w:cstheme="minorHAnsi"/>
        </w:rPr>
      </w:pPr>
      <w:r w:rsidRPr="000003F8">
        <w:rPr>
          <w:rFonts w:cstheme="minorHAnsi"/>
          <w:highlight w:val="green"/>
        </w:rPr>
        <w:t>encouraging investment in well-designed clinical trials, including through clinical trials networks, that are developed in collaboration with affected communities, with a view to addressing their public health needs and with the potential for trials to contribute to clinical trial capabilities, including strengthening the core competencies of research personnel</w:t>
      </w:r>
      <w:r w:rsidRPr="000003F8">
        <w:rPr>
          <w:rFonts w:cstheme="minorHAnsi"/>
          <w:color w:val="000000" w:themeColor="text1"/>
          <w:highlight w:val="green"/>
        </w:rPr>
        <w:t xml:space="preserve">, particularly </w:t>
      </w:r>
      <w:r w:rsidRPr="000003F8">
        <w:rPr>
          <w:rFonts w:cstheme="minorHAnsi"/>
          <w:highlight w:val="green"/>
        </w:rPr>
        <w:t>in developing countries;</w:t>
      </w:r>
    </w:p>
    <w:p w14:paraId="1376E372" w14:textId="4129713A" w:rsidR="00A73C97" w:rsidRPr="000003F8" w:rsidRDefault="00A73C97" w:rsidP="00A73C97">
      <w:pPr>
        <w:pStyle w:val="ListParagraph"/>
        <w:numPr>
          <w:ilvl w:val="1"/>
          <w:numId w:val="28"/>
        </w:numPr>
        <w:spacing w:before="120" w:after="0" w:line="240" w:lineRule="auto"/>
        <w:ind w:left="1440"/>
        <w:rPr>
          <w:rFonts w:eastAsia="Arial" w:cstheme="minorHAnsi"/>
        </w:rPr>
      </w:pPr>
      <w:r w:rsidRPr="000003F8">
        <w:rPr>
          <w:rFonts w:cstheme="minorHAnsi"/>
          <w:highlight w:val="green"/>
        </w:rPr>
        <w:t>introducing grant conditions for funding clinical trials to encourage the use of standardized data protocols where available and appropriate and to mandate registration in a publicly available clinical trial registry within the World Health Organization’s International Clinical Trials Registry Platform (ICTRP) or any other registry that meets its standards;</w:t>
      </w:r>
    </w:p>
    <w:p w14:paraId="6DE9979B" w14:textId="4246FD1D" w:rsidR="00A73C97" w:rsidRPr="000003F8" w:rsidRDefault="00A73C97" w:rsidP="00A73C97">
      <w:pPr>
        <w:pStyle w:val="ListParagraph"/>
        <w:numPr>
          <w:ilvl w:val="1"/>
          <w:numId w:val="28"/>
        </w:numPr>
        <w:spacing w:before="120" w:after="0" w:line="240" w:lineRule="auto"/>
        <w:ind w:left="1440"/>
        <w:rPr>
          <w:rFonts w:eastAsia="Arial" w:cstheme="minorHAnsi"/>
        </w:rPr>
      </w:pPr>
      <w:r w:rsidRPr="000003F8">
        <w:rPr>
          <w:rFonts w:eastAsia="Arial" w:cstheme="minorHAnsi"/>
          <w:highlight w:val="green"/>
        </w:rPr>
        <w:t>promoting, as appropriate, measures to facilitate the timely reporting of both positive and negative interpretable clinical trial results in alignment with the WHO joint statement on public disclosure of results from clinical trials</w:t>
      </w:r>
      <w:r w:rsidRPr="000003F8">
        <w:rPr>
          <w:rStyle w:val="FootnoteReference"/>
          <w:rFonts w:eastAsia="Arial" w:cstheme="minorHAnsi"/>
          <w:highlight w:val="green"/>
        </w:rPr>
        <w:footnoteReference w:id="6"/>
      </w:r>
      <w:r w:rsidRPr="000003F8">
        <w:rPr>
          <w:rFonts w:eastAsia="Arial" w:cstheme="minorHAnsi"/>
          <w:highlight w:val="green"/>
        </w:rPr>
        <w:t xml:space="preserve"> and the WHO joint statement on transparency and data integrity</w:t>
      </w:r>
      <w:r w:rsidRPr="000003F8">
        <w:rPr>
          <w:rStyle w:val="FootnoteReference"/>
          <w:rFonts w:eastAsia="Arial" w:cstheme="minorHAnsi"/>
          <w:highlight w:val="green"/>
        </w:rPr>
        <w:footnoteReference w:id="7"/>
      </w:r>
      <w:r w:rsidRPr="000003F8">
        <w:rPr>
          <w:rFonts w:eastAsia="Arial" w:cstheme="minorHAnsi"/>
          <w:highlight w:val="green"/>
        </w:rPr>
        <w:t>, including through registering the results on a publicly available clinical trial registry within the ICTRP, and encouraging timely publication of the trial results preferably in an open-access publication;</w:t>
      </w:r>
    </w:p>
    <w:p w14:paraId="38692591" w14:textId="13BDBA7C" w:rsidR="00A73C97" w:rsidRPr="000003F8" w:rsidRDefault="00A73C97" w:rsidP="00A73C97">
      <w:pPr>
        <w:pStyle w:val="ListParagraph"/>
        <w:numPr>
          <w:ilvl w:val="1"/>
          <w:numId w:val="28"/>
        </w:numPr>
        <w:spacing w:before="120" w:after="0" w:line="240" w:lineRule="auto"/>
        <w:ind w:left="1440"/>
        <w:rPr>
          <w:rFonts w:eastAsia="Arial" w:cstheme="minorHAnsi"/>
        </w:rPr>
      </w:pPr>
      <w:r w:rsidRPr="000003F8">
        <w:rPr>
          <w:rFonts w:cstheme="minorHAnsi"/>
          <w:highlight w:val="green"/>
        </w:rPr>
        <w:t>promoting transparent translation of results, including comparison to existing treatments and data on effectiveness, based on thorough assessment, into clinical guidelines where appropriate</w:t>
      </w:r>
      <w:r w:rsidRPr="000003F8">
        <w:rPr>
          <w:rFonts w:cstheme="minorHAnsi"/>
        </w:rPr>
        <w:t>;</w:t>
      </w:r>
    </w:p>
    <w:p w14:paraId="70A7E409" w14:textId="1BDF488D" w:rsidR="00A73C97" w:rsidRPr="000003F8" w:rsidRDefault="00A73C97" w:rsidP="00A73C97">
      <w:pPr>
        <w:pStyle w:val="ListParagraph"/>
        <w:numPr>
          <w:ilvl w:val="1"/>
          <w:numId w:val="28"/>
        </w:numPr>
        <w:spacing w:before="120" w:after="0" w:line="240" w:lineRule="auto"/>
        <w:ind w:left="1440"/>
        <w:rPr>
          <w:rFonts w:eastAsia="Arial" w:cstheme="minorHAnsi"/>
        </w:rPr>
      </w:pPr>
      <w:r w:rsidRPr="000003F8">
        <w:rPr>
          <w:rFonts w:cstheme="minorHAnsi"/>
          <w:highlight w:val="green"/>
        </w:rPr>
        <w:t>exploring</w:t>
      </w:r>
      <w:r w:rsidRPr="000003F8">
        <w:rPr>
          <w:rFonts w:eastAsia="Arial" w:cstheme="minorHAnsi"/>
          <w:highlight w:val="green"/>
        </w:rPr>
        <w:t xml:space="preserve"> measures </w:t>
      </w:r>
      <w:r w:rsidRPr="000003F8">
        <w:rPr>
          <w:rFonts w:cstheme="minorHAnsi"/>
          <w:highlight w:val="green"/>
        </w:rPr>
        <w:t xml:space="preserve">during public health emergencies of international concern </w:t>
      </w:r>
      <w:r w:rsidRPr="000003F8">
        <w:rPr>
          <w:rFonts w:eastAsia="Arial" w:cstheme="minorHAnsi"/>
          <w:highlight w:val="green"/>
        </w:rPr>
        <w:t xml:space="preserve">to encourage researchers to rapidly and responsibly share interpretable results of clinical trials, including negative results, with national regulatory bodies or other appropriate authorities, including WHO for clinical guideline development and emergency use listing (EUL), to support rapid regulatory decision making and emergency adaptation of clinical and public health guidelines as appropriate, including </w:t>
      </w:r>
      <w:r w:rsidRPr="000003F8">
        <w:rPr>
          <w:rFonts w:cstheme="minorHAnsi"/>
          <w:highlight w:val="green"/>
        </w:rPr>
        <w:t>through pre-print publication</w:t>
      </w:r>
      <w:r w:rsidRPr="000003F8">
        <w:rPr>
          <w:rFonts w:eastAsia="Arial" w:cstheme="minorHAnsi"/>
        </w:rPr>
        <w:t>;</w:t>
      </w:r>
    </w:p>
    <w:p w14:paraId="7CB109AC" w14:textId="5FEEF953" w:rsidR="00A73C97" w:rsidRPr="000003F8" w:rsidRDefault="00A73C97" w:rsidP="000003F8">
      <w:pPr>
        <w:pStyle w:val="ListParagraph"/>
        <w:numPr>
          <w:ilvl w:val="0"/>
          <w:numId w:val="28"/>
        </w:numPr>
        <w:spacing w:before="120" w:after="0" w:line="240" w:lineRule="auto"/>
        <w:rPr>
          <w:rFonts w:eastAsia="Arial" w:cstheme="minorHAnsi"/>
        </w:rPr>
      </w:pPr>
      <w:r w:rsidRPr="000003F8">
        <w:rPr>
          <w:rFonts w:cstheme="minorHAnsi"/>
          <w:highlight w:val="green"/>
        </w:rPr>
        <w:t>to support ethics committees and regulatory authorities to enable efficient governance processes to focus on the fundamental scientific and ethical principles that underpin randomized controlled trials, maintaining patient and other trial participant protections, including personal data protection and acting proportionately to risk, to best support well-designed and well-implemented clinical trials and facilitate the development of preparedness for clinical trials including, when appropriate multi-country trials during PHEICs, where scientifically appropriate, while embracing flexibility and innovation;</w:t>
      </w:r>
    </w:p>
    <w:p w14:paraId="6DDFD684" w14:textId="73F8A2CB" w:rsidR="00A73C97" w:rsidRPr="000003F8" w:rsidRDefault="00A73C97" w:rsidP="00A73C97">
      <w:pPr>
        <w:pStyle w:val="ListParagraph"/>
        <w:numPr>
          <w:ilvl w:val="0"/>
          <w:numId w:val="28"/>
        </w:numPr>
        <w:spacing w:before="120" w:after="0" w:line="240" w:lineRule="auto"/>
        <w:rPr>
          <w:rFonts w:eastAsia="Arial" w:cstheme="minorHAnsi"/>
        </w:rPr>
      </w:pPr>
      <w:r w:rsidRPr="000003F8">
        <w:rPr>
          <w:rFonts w:eastAsia="Arial" w:cstheme="minorHAnsi"/>
          <w:highlight w:val="green"/>
        </w:rPr>
        <w:t>to support new and existing mechanisms to facilitate rapid regulatory decision making during public health emergencies of international concern, so that:</w:t>
      </w:r>
    </w:p>
    <w:p w14:paraId="248A2894" w14:textId="71ACC69C" w:rsidR="00A73C97" w:rsidRPr="000003F8" w:rsidRDefault="00A73C97" w:rsidP="008071F7">
      <w:pPr>
        <w:pStyle w:val="ListParagraph"/>
        <w:numPr>
          <w:ilvl w:val="1"/>
          <w:numId w:val="28"/>
        </w:numPr>
        <w:spacing w:before="120" w:after="0" w:line="240" w:lineRule="auto"/>
        <w:ind w:left="1440"/>
        <w:rPr>
          <w:rFonts w:eastAsia="Arial" w:cstheme="minorHAnsi"/>
        </w:rPr>
      </w:pPr>
      <w:r w:rsidRPr="000003F8">
        <w:rPr>
          <w:rFonts w:eastAsia="Arial" w:cstheme="minorHAnsi"/>
          <w:highlight w:val="green"/>
        </w:rPr>
        <w:t>safe, ethical, well-designed clinical trials can be approved and progress quickly;</w:t>
      </w:r>
      <w:r w:rsidRPr="000003F8">
        <w:rPr>
          <w:rFonts w:eastAsia="Arial" w:cstheme="minorHAnsi"/>
        </w:rPr>
        <w:t xml:space="preserve"> and</w:t>
      </w:r>
    </w:p>
    <w:p w14:paraId="53F36ECF" w14:textId="1176106C" w:rsidR="00A73C97" w:rsidRPr="000003F8" w:rsidRDefault="00A73C97" w:rsidP="008071F7">
      <w:pPr>
        <w:pStyle w:val="ListParagraph"/>
        <w:numPr>
          <w:ilvl w:val="1"/>
          <w:numId w:val="28"/>
        </w:numPr>
        <w:spacing w:before="120" w:after="0" w:line="240" w:lineRule="auto"/>
        <w:ind w:left="1440"/>
        <w:rPr>
          <w:rFonts w:eastAsia="Arial" w:cstheme="minorHAnsi"/>
        </w:rPr>
      </w:pPr>
      <w:r w:rsidRPr="000003F8">
        <w:rPr>
          <w:rFonts w:eastAsia="Arial" w:cstheme="minorHAnsi"/>
          <w:highlight w:val="green"/>
        </w:rPr>
        <w:t>data from clinical trials can be assessed rapidly, including through WHO EUL, and health interventions deemed safe and effective swiftly authorized;</w:t>
      </w:r>
    </w:p>
    <w:p w14:paraId="61E0DBF6" w14:textId="3853090A" w:rsidR="00A73C97" w:rsidRPr="000003F8" w:rsidRDefault="00A73C97" w:rsidP="00A73C97">
      <w:pPr>
        <w:pStyle w:val="ListParagraph"/>
        <w:numPr>
          <w:ilvl w:val="0"/>
          <w:numId w:val="28"/>
        </w:numPr>
        <w:spacing w:before="120" w:after="0" w:line="240" w:lineRule="auto"/>
        <w:rPr>
          <w:rFonts w:eastAsia="Arial" w:cstheme="minorHAnsi"/>
        </w:rPr>
      </w:pPr>
      <w:r w:rsidRPr="000003F8">
        <w:rPr>
          <w:rFonts w:cstheme="minorHAnsi"/>
          <w:color w:val="242424"/>
          <w:highlight w:val="green"/>
        </w:rPr>
        <w:t>to facilitate while protecting confidentiality of information when appropriate,</w:t>
      </w:r>
      <w:r w:rsidRPr="000003F8">
        <w:rPr>
          <w:rFonts w:cstheme="minorHAnsi"/>
          <w:highlight w:val="green"/>
        </w:rPr>
        <w:t xml:space="preserve"> in normal times as well as in public health emergencies of international concern, </w:t>
      </w:r>
      <w:r w:rsidRPr="000003F8">
        <w:rPr>
          <w:rFonts w:cstheme="minorHAnsi"/>
          <w:color w:val="242424"/>
          <w:highlight w:val="green"/>
        </w:rPr>
        <w:t>sharing among regulatory authorities of:</w:t>
      </w:r>
    </w:p>
    <w:p w14:paraId="648E982D" w14:textId="65550B32" w:rsidR="000003F8" w:rsidRPr="000003F8" w:rsidRDefault="000003F8" w:rsidP="008071F7">
      <w:pPr>
        <w:pStyle w:val="ListParagraph"/>
        <w:numPr>
          <w:ilvl w:val="1"/>
          <w:numId w:val="28"/>
        </w:numPr>
        <w:spacing w:before="120" w:after="0" w:line="240" w:lineRule="auto"/>
        <w:ind w:left="1440"/>
        <w:rPr>
          <w:rFonts w:eastAsia="Arial" w:cstheme="minorHAnsi"/>
        </w:rPr>
      </w:pPr>
      <w:r w:rsidRPr="000003F8">
        <w:rPr>
          <w:rFonts w:cstheme="minorHAnsi"/>
          <w:color w:val="242424"/>
          <w:highlight w:val="green"/>
        </w:rPr>
        <w:t>their assessments of clinical trial protocols to enable the implementation of rigorous protocols in practice; and</w:t>
      </w:r>
    </w:p>
    <w:p w14:paraId="0A9B6F0F" w14:textId="08B8E29D" w:rsidR="000003F8" w:rsidRPr="000003F8" w:rsidRDefault="000003F8" w:rsidP="008071F7">
      <w:pPr>
        <w:pStyle w:val="ListParagraph"/>
        <w:numPr>
          <w:ilvl w:val="1"/>
          <w:numId w:val="28"/>
        </w:numPr>
        <w:spacing w:before="120" w:after="0" w:line="240" w:lineRule="auto"/>
        <w:ind w:left="1440"/>
        <w:rPr>
          <w:rFonts w:eastAsia="Arial" w:cstheme="minorHAnsi"/>
        </w:rPr>
      </w:pPr>
      <w:r w:rsidRPr="000003F8">
        <w:rPr>
          <w:rFonts w:cstheme="minorHAnsi"/>
          <w:color w:val="242424"/>
          <w:highlight w:val="green"/>
        </w:rPr>
        <w:t>assessment reports on health interventions with potential significance and public health importance to inform, when possible, decision making processes in other countries including for potential regulatory assessments and decisions related to the inclusion of health interventions in their national health system, as well as for safety monitoring;</w:t>
      </w:r>
    </w:p>
    <w:p w14:paraId="3A0E6710" w14:textId="1C75EF30" w:rsidR="000003F8" w:rsidRPr="000003F8" w:rsidRDefault="000003F8" w:rsidP="000003F8">
      <w:pPr>
        <w:pStyle w:val="ListParagraph"/>
        <w:numPr>
          <w:ilvl w:val="0"/>
          <w:numId w:val="28"/>
        </w:numPr>
        <w:tabs>
          <w:tab w:val="left" w:pos="1080"/>
        </w:tabs>
        <w:spacing w:before="120" w:after="0" w:line="240" w:lineRule="auto"/>
        <w:ind w:left="1080" w:hanging="720"/>
        <w:rPr>
          <w:rFonts w:eastAsia="Arial" w:cstheme="minorHAnsi"/>
        </w:rPr>
      </w:pPr>
      <w:r w:rsidRPr="000003F8">
        <w:rPr>
          <w:rFonts w:eastAsia="Arial" w:cstheme="minorHAnsi"/>
          <w:highlight w:val="green"/>
        </w:rPr>
        <w:t>to support new and existing mechanisms to facilitate the rapid interpretation of data from clinical trials to develop or amend, as necessary, relevant guidelines during public health emergencies of international concern;</w:t>
      </w:r>
    </w:p>
    <w:p w14:paraId="7365CEFD" w14:textId="240E8635" w:rsidR="000003F8" w:rsidRPr="000003F8" w:rsidRDefault="000003F8" w:rsidP="000003F8">
      <w:pPr>
        <w:pStyle w:val="ListParagraph"/>
        <w:numPr>
          <w:ilvl w:val="0"/>
          <w:numId w:val="28"/>
        </w:numPr>
        <w:tabs>
          <w:tab w:val="left" w:pos="1080"/>
        </w:tabs>
        <w:spacing w:before="120" w:after="0" w:line="240" w:lineRule="auto"/>
        <w:ind w:left="1080" w:hanging="720"/>
        <w:rPr>
          <w:rFonts w:eastAsia="Arial" w:cstheme="minorHAnsi"/>
        </w:rPr>
      </w:pPr>
      <w:r w:rsidRPr="000003F8">
        <w:rPr>
          <w:rFonts w:cstheme="minorHAnsi"/>
          <w:highlight w:val="green"/>
        </w:rPr>
        <w:t>to facilitate collaboration and synergies among actors, institutions and networks in the clinical evidence ecosystem throughout the continuum from clinical research to utilization of data from clinical trials in clinical practice through comparative evidence evaluations, evidence synthesis, health technology assessments, regulatory decisions, comparative cost-effectiveness analysis, vis-à-vis existing health interventions</w:t>
      </w:r>
      <w:r w:rsidRPr="000003F8">
        <w:rPr>
          <w:rFonts w:cstheme="minorHAnsi"/>
          <w:color w:val="FF0000"/>
          <w:highlight w:val="green"/>
        </w:rPr>
        <w:t xml:space="preserve"> </w:t>
      </w:r>
      <w:r w:rsidRPr="000003F8">
        <w:rPr>
          <w:rFonts w:cstheme="minorHAnsi"/>
          <w:highlight w:val="green"/>
        </w:rPr>
        <w:t>and, as appropriate, development of evidenced based guidelines and monitoring of implementation in clinical practice;</w:t>
      </w:r>
    </w:p>
    <w:p w14:paraId="5C3F6935" w14:textId="5CB51ACA" w:rsidR="000003F8" w:rsidRPr="000003F8" w:rsidRDefault="000003F8" w:rsidP="000003F8">
      <w:pPr>
        <w:tabs>
          <w:tab w:val="left" w:pos="1080"/>
        </w:tabs>
        <w:spacing w:before="120" w:after="0" w:line="240" w:lineRule="auto"/>
        <w:rPr>
          <w:rFonts w:eastAsia="Arial" w:cstheme="minorHAnsi"/>
        </w:rPr>
      </w:pPr>
    </w:p>
    <w:p w14:paraId="2AD19A71" w14:textId="351565F8" w:rsidR="000003F8" w:rsidRPr="000003F8" w:rsidRDefault="000003F8" w:rsidP="000003F8">
      <w:pPr>
        <w:spacing w:before="120" w:after="0" w:line="240" w:lineRule="auto"/>
        <w:rPr>
          <w:rFonts w:cstheme="minorHAnsi"/>
          <w:b/>
          <w:bCs/>
        </w:rPr>
      </w:pPr>
      <w:bookmarkStart w:id="1" w:name="_Hlk98777469"/>
      <w:r w:rsidRPr="000003F8">
        <w:rPr>
          <w:rFonts w:cstheme="minorHAnsi"/>
          <w:b/>
          <w:bCs/>
          <w:highlight w:val="green"/>
        </w:rPr>
        <w:t>INVITES</w:t>
      </w:r>
      <w:r w:rsidRPr="000003F8">
        <w:rPr>
          <w:rFonts w:cstheme="minorHAnsi"/>
          <w:highlight w:val="green"/>
        </w:rPr>
        <w:t xml:space="preserve"> </w:t>
      </w:r>
      <w:r w:rsidRPr="000003F8">
        <w:rPr>
          <w:rFonts w:cstheme="minorHAnsi"/>
          <w:b/>
          <w:bCs/>
          <w:highlight w:val="green"/>
        </w:rPr>
        <w:t>non-governmental international organisations and other relevant stakeholders:</w:t>
      </w:r>
      <w:bookmarkEnd w:id="1"/>
    </w:p>
    <w:p w14:paraId="62B8B5D9" w14:textId="261810F3" w:rsidR="000003F8" w:rsidRPr="000003F8" w:rsidRDefault="000003F8" w:rsidP="0016573F">
      <w:pPr>
        <w:pStyle w:val="ListParagraph"/>
        <w:numPr>
          <w:ilvl w:val="0"/>
          <w:numId w:val="30"/>
        </w:numPr>
        <w:tabs>
          <w:tab w:val="left" w:pos="1080"/>
        </w:tabs>
        <w:spacing w:before="120" w:after="0" w:line="240" w:lineRule="auto"/>
        <w:ind w:left="1080" w:hanging="720"/>
        <w:rPr>
          <w:rFonts w:eastAsia="Arial" w:cstheme="minorHAnsi"/>
        </w:rPr>
      </w:pPr>
      <w:r w:rsidRPr="000003F8">
        <w:rPr>
          <w:rFonts w:cstheme="minorHAnsi"/>
          <w:highlight w:val="green"/>
        </w:rPr>
        <w:t xml:space="preserve">to explore opportunities to coordinate research priorities, and promote investments in clinical trial research and the effective, equitable and timely deployment of resources and funding, while actively preventing and </w:t>
      </w:r>
      <w:r w:rsidRPr="000003F8">
        <w:rPr>
          <w:rFonts w:eastAsia="Arial" w:cstheme="minorHAnsi"/>
          <w:color w:val="000000" w:themeColor="text1"/>
          <w:highlight w:val="green"/>
        </w:rPr>
        <w:t xml:space="preserve">managing </w:t>
      </w:r>
      <w:r w:rsidRPr="000003F8">
        <w:rPr>
          <w:rFonts w:cstheme="minorHAnsi"/>
          <w:highlight w:val="green"/>
        </w:rPr>
        <w:t>conflicts of interest, to support robust, quality clinical trials as well as to strengthen clinical trial research capacities globally, particularly in developing countries and for diseases disproportionately affecting developing countries;</w:t>
      </w:r>
    </w:p>
    <w:p w14:paraId="044EEEF5" w14:textId="3B461291" w:rsidR="000003F8" w:rsidRPr="000003F8" w:rsidRDefault="000003F8" w:rsidP="000003F8">
      <w:pPr>
        <w:tabs>
          <w:tab w:val="left" w:pos="1080"/>
        </w:tabs>
        <w:spacing w:before="120" w:after="0" w:line="240" w:lineRule="auto"/>
        <w:rPr>
          <w:rFonts w:eastAsia="Arial" w:cstheme="minorHAnsi"/>
        </w:rPr>
      </w:pPr>
    </w:p>
    <w:p w14:paraId="0A4317A0" w14:textId="6CA9F841" w:rsidR="000003F8" w:rsidRPr="000003F8" w:rsidRDefault="000003F8" w:rsidP="000003F8">
      <w:pPr>
        <w:spacing w:before="120" w:after="0" w:line="240" w:lineRule="auto"/>
        <w:rPr>
          <w:rFonts w:cstheme="minorHAnsi"/>
          <w:b/>
          <w:bCs/>
        </w:rPr>
      </w:pPr>
      <w:r w:rsidRPr="000003F8">
        <w:rPr>
          <w:rFonts w:cstheme="minorHAnsi"/>
          <w:b/>
          <w:bCs/>
          <w:highlight w:val="green"/>
        </w:rPr>
        <w:t>REQUESTS the Director General:</w:t>
      </w:r>
    </w:p>
    <w:p w14:paraId="1B83B088" w14:textId="37E21838" w:rsidR="000003F8" w:rsidRPr="000003F8" w:rsidRDefault="000003F8" w:rsidP="0016573F">
      <w:pPr>
        <w:pStyle w:val="ListParagraph"/>
        <w:numPr>
          <w:ilvl w:val="0"/>
          <w:numId w:val="31"/>
        </w:numPr>
        <w:tabs>
          <w:tab w:val="left" w:pos="1080"/>
        </w:tabs>
        <w:spacing w:before="120" w:after="0" w:line="240" w:lineRule="auto"/>
        <w:ind w:left="1080" w:hanging="720"/>
        <w:rPr>
          <w:rFonts w:eastAsia="Arial" w:cstheme="minorHAnsi"/>
        </w:rPr>
      </w:pPr>
      <w:r w:rsidRPr="000003F8">
        <w:rPr>
          <w:rFonts w:eastAsia="Arial" w:cstheme="minorHAnsi"/>
          <w:highlight w:val="green"/>
          <w:lang w:val="en-US"/>
        </w:rPr>
        <w:t xml:space="preserve">to organize, in a transparent manner, stakeholder consultations in line with FENSA, with Member States, NGOs including patient groups, private sector entities including international business associations, philanthropic foundations and academic institutions, as appropriate, </w:t>
      </w:r>
      <w:r w:rsidRPr="000003F8">
        <w:rPr>
          <w:rFonts w:eastAsia="Arial" w:cstheme="minorHAnsi"/>
          <w:highlight w:val="green"/>
        </w:rPr>
        <w:t>on the respective roles of the WHO, Member States</w:t>
      </w:r>
      <w:r w:rsidRPr="000003F8">
        <w:rPr>
          <w:rStyle w:val="FootnoteReference"/>
          <w:rFonts w:eastAsia="Arial" w:cstheme="minorHAnsi"/>
          <w:highlight w:val="green"/>
        </w:rPr>
        <w:footnoteReference w:id="8"/>
      </w:r>
      <w:r w:rsidRPr="000003F8">
        <w:rPr>
          <w:rFonts w:eastAsia="Arial" w:cstheme="minorHAnsi"/>
          <w:highlight w:val="green"/>
        </w:rPr>
        <w:t xml:space="preserve"> and non-State actors, and to identify and propose to Member States, for consideration in governing bodies, best practices and other measures to strengthen the global clinical trials ecosystem, taking into account relevant initiatives where appropriate;</w:t>
      </w:r>
    </w:p>
    <w:p w14:paraId="77C80098" w14:textId="666AE8E5" w:rsidR="000003F8" w:rsidRPr="000003F8" w:rsidRDefault="000003F8" w:rsidP="0016573F">
      <w:pPr>
        <w:pStyle w:val="ListParagraph"/>
        <w:numPr>
          <w:ilvl w:val="0"/>
          <w:numId w:val="31"/>
        </w:numPr>
        <w:tabs>
          <w:tab w:val="left" w:pos="1080"/>
        </w:tabs>
        <w:spacing w:before="120" w:after="0" w:line="240" w:lineRule="auto"/>
        <w:ind w:left="1080" w:hanging="720"/>
        <w:rPr>
          <w:rFonts w:eastAsia="Arial" w:cstheme="minorHAnsi"/>
        </w:rPr>
      </w:pPr>
      <w:r w:rsidRPr="000003F8">
        <w:rPr>
          <w:rFonts w:cstheme="minorHAnsi"/>
          <w:highlight w:val="green"/>
        </w:rPr>
        <w:t>to review existing guidance and develop, following the standard WHO processes, new guidance as needed on best practices for clinical trials, including on strengthening the infrastructure needed for clinical trials, to be applied in normal times and with provisions for application during a public health emergency of international concern, taking into account relevant initiatives</w:t>
      </w:r>
      <w:r w:rsidRPr="000003F8">
        <w:rPr>
          <w:rStyle w:val="normaltextrun"/>
          <w:rFonts w:cstheme="minorHAnsi"/>
          <w:color w:val="000000"/>
          <w:highlight w:val="green"/>
          <w:shd w:val="clear" w:color="auto" w:fill="FFFFFF"/>
        </w:rPr>
        <w:t xml:space="preserve"> and guidelines as appropriate </w:t>
      </w:r>
      <w:r w:rsidRPr="000003F8">
        <w:rPr>
          <w:rFonts w:cstheme="minorHAnsi"/>
          <w:highlight w:val="green"/>
        </w:rPr>
        <w:t xml:space="preserve">such as those led by the </w:t>
      </w:r>
      <w:r w:rsidRPr="000003F8">
        <w:rPr>
          <w:rFonts w:eastAsia="Arial" w:cstheme="minorHAnsi"/>
          <w:color w:val="000000" w:themeColor="text1"/>
          <w:highlight w:val="green"/>
        </w:rPr>
        <w:t>International Council for Harmonisation of Technical Requirements for Pharmaceuticals for Human Use (ICH)</w:t>
      </w:r>
      <w:r w:rsidRPr="000003F8">
        <w:rPr>
          <w:rFonts w:cstheme="minorHAnsi"/>
          <w:highlight w:val="green"/>
        </w:rPr>
        <w:t xml:space="preserve"> and other organizations by providing, as appropriate:</w:t>
      </w:r>
    </w:p>
    <w:p w14:paraId="2E75865E" w14:textId="59591CDB" w:rsidR="000003F8" w:rsidRPr="000003F8" w:rsidRDefault="000003F8" w:rsidP="0016573F">
      <w:pPr>
        <w:pStyle w:val="ListParagraph"/>
        <w:numPr>
          <w:ilvl w:val="1"/>
          <w:numId w:val="31"/>
        </w:numPr>
        <w:tabs>
          <w:tab w:val="left" w:pos="1080"/>
        </w:tabs>
        <w:spacing w:before="120" w:after="0" w:line="240" w:lineRule="auto"/>
        <w:ind w:left="1440"/>
        <w:rPr>
          <w:rFonts w:eastAsia="Arial" w:cstheme="minorHAnsi"/>
        </w:rPr>
      </w:pPr>
      <w:r w:rsidRPr="000003F8">
        <w:rPr>
          <w:rFonts w:cstheme="minorHAnsi"/>
          <w:highlight w:val="green"/>
        </w:rPr>
        <w:t>guidance on best practices to help guide MS implementation of scientifically and ethically sound clinical trials within their national and regional contexts;</w:t>
      </w:r>
    </w:p>
    <w:p w14:paraId="4AB4DBBE" w14:textId="7E96D895" w:rsidR="000003F8" w:rsidRPr="000003F8" w:rsidRDefault="000003F8" w:rsidP="0016573F">
      <w:pPr>
        <w:pStyle w:val="ListParagraph"/>
        <w:numPr>
          <w:ilvl w:val="1"/>
          <w:numId w:val="31"/>
        </w:numPr>
        <w:tabs>
          <w:tab w:val="left" w:pos="1080"/>
        </w:tabs>
        <w:spacing w:before="120" w:after="0" w:line="240" w:lineRule="auto"/>
        <w:ind w:left="1440"/>
        <w:rPr>
          <w:rFonts w:eastAsia="Arial" w:cstheme="minorHAnsi"/>
        </w:rPr>
      </w:pPr>
      <w:r w:rsidRPr="000003F8">
        <w:rPr>
          <w:rStyle w:val="normaltextrun"/>
          <w:rFonts w:cstheme="minorHAnsi"/>
          <w:color w:val="000000"/>
          <w:highlight w:val="green"/>
          <w:shd w:val="clear" w:color="auto" w:fill="FFFFFF"/>
        </w:rPr>
        <w:t>guidance on best practices for NSAs in the design and conduct of clinical trials and in strengthening the global clinical trials ecosystem to meet the needs of major population groups that the intervention is intended to benefit, with a particular focus on under-represented populations, developed in consultation with WHO Member States</w:t>
      </w:r>
      <w:r w:rsidRPr="000003F8">
        <w:rPr>
          <w:rStyle w:val="FootnoteReference"/>
          <w:rFonts w:cstheme="minorHAnsi"/>
          <w:color w:val="000000"/>
          <w:highlight w:val="green"/>
          <w:shd w:val="clear" w:color="auto" w:fill="FFFFFF"/>
        </w:rPr>
        <w:footnoteReference w:id="9"/>
      </w:r>
      <w:r w:rsidRPr="000003F8">
        <w:rPr>
          <w:rStyle w:val="normaltextrun"/>
          <w:rFonts w:cstheme="minorHAnsi"/>
          <w:color w:val="000000"/>
          <w:highlight w:val="green"/>
          <w:shd w:val="clear" w:color="auto" w:fill="FFFFFF"/>
        </w:rPr>
        <w:t xml:space="preserve"> and relevant NSAs</w:t>
      </w:r>
      <w:r w:rsidRPr="000003F8">
        <w:rPr>
          <w:rStyle w:val="normaltextrun"/>
          <w:rFonts w:cstheme="minorHAnsi"/>
          <w:color w:val="000000"/>
          <w:shd w:val="clear" w:color="auto" w:fill="FFFFFF"/>
        </w:rPr>
        <w:t>;</w:t>
      </w:r>
    </w:p>
    <w:p w14:paraId="28FF23D9" w14:textId="7BFFD1B9" w:rsidR="000003F8" w:rsidRPr="000003F8" w:rsidRDefault="000003F8" w:rsidP="0016573F">
      <w:pPr>
        <w:pStyle w:val="ListParagraph"/>
        <w:numPr>
          <w:ilvl w:val="0"/>
          <w:numId w:val="31"/>
        </w:numPr>
        <w:tabs>
          <w:tab w:val="left" w:pos="1080"/>
        </w:tabs>
        <w:spacing w:before="120" w:after="0" w:line="240" w:lineRule="auto"/>
        <w:ind w:left="1080" w:hanging="720"/>
        <w:rPr>
          <w:rFonts w:eastAsia="Arial" w:cstheme="minorHAnsi"/>
        </w:rPr>
      </w:pPr>
      <w:r w:rsidRPr="000003F8">
        <w:rPr>
          <w:rFonts w:cstheme="minorHAnsi"/>
          <w:highlight w:val="green"/>
        </w:rPr>
        <w:t>to provide to Member States, on their request, guidance, taking into account relevant initiatives and guidelines</w:t>
      </w:r>
      <w:r w:rsidRPr="000003F8">
        <w:rPr>
          <w:rStyle w:val="normaltextrun"/>
          <w:rFonts w:cstheme="minorHAnsi"/>
          <w:color w:val="000000"/>
          <w:highlight w:val="green"/>
          <w:shd w:val="clear" w:color="auto" w:fill="FFFFFF"/>
        </w:rPr>
        <w:t>, as appropriate</w:t>
      </w:r>
      <w:r w:rsidRPr="000003F8">
        <w:rPr>
          <w:rFonts w:cstheme="minorHAnsi"/>
          <w:highlight w:val="green"/>
        </w:rPr>
        <w:t>, on best practices for developing the legislation, infrastructure and capabilities required for clinical trials taking into account national and regional contexts;</w:t>
      </w:r>
    </w:p>
    <w:p w14:paraId="201DA151" w14:textId="1FCDDFCD" w:rsidR="000003F8" w:rsidRPr="000003F8" w:rsidRDefault="000003F8" w:rsidP="0016573F">
      <w:pPr>
        <w:pStyle w:val="ListParagraph"/>
        <w:numPr>
          <w:ilvl w:val="0"/>
          <w:numId w:val="31"/>
        </w:numPr>
        <w:tabs>
          <w:tab w:val="left" w:pos="1080"/>
        </w:tabs>
        <w:spacing w:before="120" w:after="0" w:line="240" w:lineRule="auto"/>
        <w:ind w:left="1080" w:hanging="720"/>
        <w:rPr>
          <w:rFonts w:eastAsia="Arial" w:cstheme="minorHAnsi"/>
        </w:rPr>
      </w:pPr>
      <w:r w:rsidRPr="000003F8">
        <w:rPr>
          <w:rFonts w:cstheme="minorHAnsi"/>
          <w:highlight w:val="green"/>
        </w:rPr>
        <w:t xml:space="preserve">to engage with as appropriate relevant NSAs in line with FENSA to strengthen clinical trial capabilities, particularly in developing countries, on innovations which meet the needs of </w:t>
      </w:r>
      <w:r w:rsidRPr="000003F8">
        <w:rPr>
          <w:rStyle w:val="normaltextrun"/>
          <w:rFonts w:cstheme="minorHAnsi"/>
          <w:color w:val="000000"/>
          <w:highlight w:val="green"/>
          <w:shd w:val="clear" w:color="auto" w:fill="FFFFFF"/>
        </w:rPr>
        <w:t>major population groups that the intervention is intended to benefit</w:t>
      </w:r>
      <w:r w:rsidRPr="000003F8">
        <w:rPr>
          <w:rFonts w:cstheme="minorHAnsi"/>
          <w:highlight w:val="green"/>
        </w:rPr>
        <w:t>, with a particular focus on under-represented populations;</w:t>
      </w:r>
    </w:p>
    <w:p w14:paraId="380F8CB2" w14:textId="6CC6CCC6" w:rsidR="000003F8" w:rsidRPr="000003F8" w:rsidRDefault="000003F8" w:rsidP="0016573F">
      <w:pPr>
        <w:pStyle w:val="ListParagraph"/>
        <w:numPr>
          <w:ilvl w:val="0"/>
          <w:numId w:val="31"/>
        </w:numPr>
        <w:tabs>
          <w:tab w:val="left" w:pos="1080"/>
        </w:tabs>
        <w:spacing w:before="120" w:after="0" w:line="240" w:lineRule="auto"/>
        <w:ind w:left="1080" w:hanging="720"/>
        <w:rPr>
          <w:rFonts w:eastAsia="Arial" w:cstheme="minorHAnsi"/>
        </w:rPr>
      </w:pPr>
      <w:r w:rsidRPr="000003F8">
        <w:rPr>
          <w:rFonts w:cstheme="minorHAnsi"/>
          <w:bCs/>
          <w:highlight w:val="green"/>
        </w:rPr>
        <w:t>to present a report outlining progress in the activities requested of the Director-General in this resolution for consideration by the Seventy-sixth World Health Assembly through the Executive Board at its 152</w:t>
      </w:r>
      <w:r w:rsidRPr="000003F8">
        <w:rPr>
          <w:rFonts w:cstheme="minorHAnsi"/>
          <w:bCs/>
          <w:highlight w:val="green"/>
          <w:vertAlign w:val="superscript"/>
        </w:rPr>
        <w:t>nd</w:t>
      </w:r>
      <w:r w:rsidRPr="000003F8">
        <w:rPr>
          <w:rFonts w:cstheme="minorHAnsi"/>
          <w:bCs/>
          <w:highlight w:val="green"/>
        </w:rPr>
        <w:t xml:space="preserve"> session in 2023</w:t>
      </w:r>
      <w:r w:rsidRPr="000003F8">
        <w:rPr>
          <w:rFonts w:cstheme="minorHAnsi"/>
          <w:bCs/>
        </w:rPr>
        <w:t>.</w:t>
      </w:r>
    </w:p>
    <w:p w14:paraId="4CCD49E3" w14:textId="77777777" w:rsidR="008A121D" w:rsidRPr="000003F8" w:rsidRDefault="008A121D" w:rsidP="00120BD3">
      <w:pPr>
        <w:spacing w:before="120" w:after="0" w:line="240" w:lineRule="auto"/>
        <w:rPr>
          <w:rFonts w:cstheme="minorHAnsi"/>
        </w:rPr>
      </w:pPr>
    </w:p>
    <w:p w14:paraId="5F298F6F" w14:textId="2BC78066" w:rsidR="00C90180" w:rsidRPr="000003F8" w:rsidRDefault="00C90180" w:rsidP="00120BD3">
      <w:pPr>
        <w:spacing w:before="120" w:after="0" w:line="240" w:lineRule="auto"/>
        <w:rPr>
          <w:rFonts w:cstheme="minorHAnsi"/>
          <w:bCs/>
        </w:rPr>
      </w:pPr>
    </w:p>
    <w:sectPr w:rsidR="00C90180" w:rsidRPr="000003F8" w:rsidSect="007E7C1E">
      <w:headerReference w:type="default" r:id="rId11"/>
      <w:pgSz w:w="11906" w:h="16838"/>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DDC9" w14:textId="77777777" w:rsidR="00C17D85" w:rsidRDefault="00C17D85" w:rsidP="0062157C">
      <w:pPr>
        <w:spacing w:after="0" w:line="240" w:lineRule="auto"/>
      </w:pPr>
      <w:r>
        <w:separator/>
      </w:r>
    </w:p>
  </w:endnote>
  <w:endnote w:type="continuationSeparator" w:id="0">
    <w:p w14:paraId="28069F80" w14:textId="77777777" w:rsidR="00C17D85" w:rsidRDefault="00C17D85" w:rsidP="0062157C">
      <w:pPr>
        <w:spacing w:after="0" w:line="240" w:lineRule="auto"/>
      </w:pPr>
      <w:r>
        <w:continuationSeparator/>
      </w:r>
    </w:p>
  </w:endnote>
  <w:endnote w:type="continuationNotice" w:id="1">
    <w:p w14:paraId="24388BAF" w14:textId="77777777" w:rsidR="00C17D85" w:rsidRDefault="00C17D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FE0EE" w14:textId="77777777" w:rsidR="00C17D85" w:rsidRDefault="00C17D85" w:rsidP="0062157C">
      <w:pPr>
        <w:spacing w:after="0" w:line="240" w:lineRule="auto"/>
      </w:pPr>
      <w:r>
        <w:separator/>
      </w:r>
    </w:p>
  </w:footnote>
  <w:footnote w:type="continuationSeparator" w:id="0">
    <w:p w14:paraId="7582BFAE" w14:textId="77777777" w:rsidR="00C17D85" w:rsidRDefault="00C17D85" w:rsidP="0062157C">
      <w:pPr>
        <w:spacing w:after="0" w:line="240" w:lineRule="auto"/>
      </w:pPr>
      <w:r>
        <w:continuationSeparator/>
      </w:r>
    </w:p>
  </w:footnote>
  <w:footnote w:type="continuationNotice" w:id="1">
    <w:p w14:paraId="0CD2000A" w14:textId="77777777" w:rsidR="00C17D85" w:rsidRDefault="00C17D85">
      <w:pPr>
        <w:spacing w:after="0" w:line="240" w:lineRule="auto"/>
      </w:pPr>
    </w:p>
  </w:footnote>
  <w:footnote w:id="2">
    <w:p w14:paraId="2A8B64E0" w14:textId="4BF444BC" w:rsidR="00F55C30" w:rsidRPr="000003F8" w:rsidRDefault="00F55C30">
      <w:pPr>
        <w:pStyle w:val="FootnoteText"/>
        <w:rPr>
          <w:rFonts w:asciiTheme="minorHAnsi" w:hAnsiTheme="minorHAnsi" w:cstheme="minorHAnsi"/>
          <w:sz w:val="18"/>
          <w:szCs w:val="18"/>
          <w:lang w:val="en-US"/>
        </w:rPr>
      </w:pPr>
      <w:r w:rsidRPr="000003F8">
        <w:rPr>
          <w:rStyle w:val="FootnoteReference"/>
          <w:rFonts w:asciiTheme="minorHAnsi" w:hAnsiTheme="minorHAnsi" w:cstheme="minorHAnsi"/>
          <w:sz w:val="18"/>
          <w:szCs w:val="18"/>
        </w:rPr>
        <w:footnoteRef/>
      </w:r>
      <w:r w:rsidRPr="000003F8">
        <w:rPr>
          <w:rFonts w:asciiTheme="minorHAnsi" w:hAnsiTheme="minorHAnsi" w:cstheme="minorHAnsi"/>
          <w:sz w:val="18"/>
          <w:szCs w:val="18"/>
        </w:rPr>
        <w:t xml:space="preserve"> </w:t>
      </w:r>
      <w:r w:rsidRPr="000003F8">
        <w:rPr>
          <w:rFonts w:asciiTheme="minorHAnsi" w:hAnsiTheme="minorHAnsi" w:cstheme="minorHAnsi"/>
          <w:sz w:val="18"/>
          <w:szCs w:val="18"/>
          <w:lang w:val="en-US"/>
        </w:rPr>
        <w:t>“A clinical trial is defined by WHO as any research study that prospectively assigns human participants or groups of humans to one or more health-related interventions to evaluate the effects on health outcomes. Clinical trials may also be referred to as interventional trials. Interventions include but are not restricted to drugs, cells and other biological products, surgical procedures, radiologic procedures, devices, behavioural treatments, process-of-care changes, preventive care, etc. This definition includes Phase I to Phase IV trials.” WHO joint statement on public disclosure of results from clinical trials 2017 </w:t>
      </w:r>
      <w:hyperlink r:id="rId1" w:tooltip="https://eur03.safelinks.protection.outlook.com/?url=https%3A%2F%2Fwww.who.int%2Fnews%2Fitem%2F18-05-2017-joint-statement-on-registration&amp;data=04%7C01%7Cesther.lawrence%40fco.gov.uk%7C815b135c745141f423c808da17d81bb8%7Cd3a2d0d37cc84f52bbf985bd43d94279%7C0%7C0%7" w:history="1">
        <w:r w:rsidRPr="000003F8">
          <w:rPr>
            <w:rStyle w:val="Hyperlink"/>
            <w:rFonts w:asciiTheme="minorHAnsi" w:hAnsiTheme="minorHAnsi" w:cstheme="minorHAnsi"/>
            <w:sz w:val="18"/>
            <w:szCs w:val="18"/>
            <w:lang w:val="en-US"/>
          </w:rPr>
          <w:t>https://www.who.int/news/item/18-05-2017-joint-statement-on-registration</w:t>
        </w:r>
      </w:hyperlink>
    </w:p>
  </w:footnote>
  <w:footnote w:id="3">
    <w:p w14:paraId="47ED7A03" w14:textId="77777777" w:rsidR="00B16949" w:rsidRPr="000003F8" w:rsidRDefault="00B16949" w:rsidP="00B16949">
      <w:pPr>
        <w:pStyle w:val="FootnoteText"/>
        <w:rPr>
          <w:rFonts w:asciiTheme="minorHAnsi" w:eastAsia="Calibri" w:hAnsiTheme="minorHAnsi" w:cstheme="minorHAnsi"/>
          <w:sz w:val="18"/>
          <w:szCs w:val="18"/>
        </w:rPr>
      </w:pPr>
      <w:r w:rsidRPr="000003F8">
        <w:rPr>
          <w:rStyle w:val="FootnoteReference"/>
          <w:rFonts w:asciiTheme="minorHAnsi" w:hAnsiTheme="minorHAnsi" w:cstheme="minorHAnsi"/>
          <w:sz w:val="18"/>
          <w:szCs w:val="18"/>
        </w:rPr>
        <w:footnoteRef/>
      </w:r>
      <w:r w:rsidRPr="000003F8">
        <w:rPr>
          <w:rFonts w:asciiTheme="minorHAnsi" w:hAnsiTheme="minorHAnsi" w:cstheme="minorHAnsi"/>
          <w:sz w:val="18"/>
          <w:szCs w:val="18"/>
        </w:rPr>
        <w:t xml:space="preserve"> </w:t>
      </w:r>
      <w:r w:rsidRPr="000003F8">
        <w:rPr>
          <w:rFonts w:asciiTheme="minorHAnsi" w:eastAsia="Calibri" w:hAnsiTheme="minorHAnsi" w:cstheme="minorHAnsi"/>
          <w:sz w:val="18"/>
          <w:szCs w:val="18"/>
        </w:rPr>
        <w:t xml:space="preserve">The Independent Panel for Pandemic Preparedness and Response. </w:t>
      </w:r>
      <w:hyperlink r:id="rId2">
        <w:r w:rsidRPr="000003F8">
          <w:rPr>
            <w:rStyle w:val="Hyperlink"/>
            <w:rFonts w:asciiTheme="minorHAnsi" w:eastAsia="Calibri" w:hAnsiTheme="minorHAnsi" w:cstheme="minorHAnsi"/>
            <w:i/>
            <w:iCs/>
            <w:sz w:val="18"/>
            <w:szCs w:val="18"/>
          </w:rPr>
          <w:t>Covid-19: Make it the Last Pandemic</w:t>
        </w:r>
      </w:hyperlink>
      <w:r w:rsidRPr="000003F8">
        <w:rPr>
          <w:rFonts w:asciiTheme="minorHAnsi" w:eastAsia="Calibri" w:hAnsiTheme="minorHAnsi" w:cstheme="minorHAnsi"/>
          <w:sz w:val="18"/>
          <w:szCs w:val="18"/>
        </w:rPr>
        <w:t>. 2021</w:t>
      </w:r>
    </w:p>
  </w:footnote>
  <w:footnote w:id="4">
    <w:p w14:paraId="6B5FAE0F" w14:textId="1BE4388B" w:rsidR="00C2672B" w:rsidRPr="000003F8" w:rsidRDefault="00C2672B">
      <w:pPr>
        <w:pStyle w:val="FootnoteText"/>
        <w:rPr>
          <w:rFonts w:asciiTheme="minorHAnsi" w:hAnsiTheme="minorHAnsi" w:cstheme="minorHAnsi"/>
          <w:sz w:val="18"/>
          <w:szCs w:val="18"/>
          <w:lang w:val="fr-CH"/>
        </w:rPr>
      </w:pPr>
      <w:r w:rsidRPr="000003F8">
        <w:rPr>
          <w:rStyle w:val="FootnoteReference"/>
          <w:rFonts w:asciiTheme="minorHAnsi" w:hAnsiTheme="minorHAnsi" w:cstheme="minorHAnsi"/>
          <w:sz w:val="18"/>
          <w:szCs w:val="18"/>
        </w:rPr>
        <w:footnoteRef/>
      </w:r>
      <w:r w:rsidRPr="000003F8">
        <w:rPr>
          <w:rFonts w:asciiTheme="minorHAnsi" w:hAnsiTheme="minorHAnsi" w:cstheme="minorHAnsi"/>
          <w:sz w:val="18"/>
          <w:szCs w:val="18"/>
        </w:rPr>
        <w:t xml:space="preserve"> </w:t>
      </w:r>
      <w:r w:rsidRPr="000003F8">
        <w:rPr>
          <w:rFonts w:asciiTheme="minorHAnsi" w:eastAsia="Arial" w:hAnsiTheme="minorHAnsi" w:cstheme="minorHAnsi"/>
          <w:color w:val="000000" w:themeColor="text1"/>
          <w:sz w:val="18"/>
          <w:szCs w:val="18"/>
        </w:rPr>
        <w:t xml:space="preserve">Throughout this document “well-designed trials” refers to trials which are </w:t>
      </w:r>
      <w:hyperlink r:id="rId3">
        <w:r w:rsidRPr="000003F8">
          <w:rPr>
            <w:rStyle w:val="Hyperlink"/>
            <w:rFonts w:asciiTheme="minorHAnsi" w:eastAsia="Arial" w:hAnsiTheme="minorHAnsi" w:cstheme="minorHAnsi"/>
            <w:sz w:val="18"/>
            <w:szCs w:val="18"/>
          </w:rPr>
          <w:t>scientifically</w:t>
        </w:r>
      </w:hyperlink>
      <w:r w:rsidRPr="000003F8">
        <w:rPr>
          <w:rFonts w:asciiTheme="minorHAnsi" w:eastAsia="Arial" w:hAnsiTheme="minorHAnsi" w:cstheme="minorHAnsi"/>
          <w:color w:val="000000" w:themeColor="text1"/>
          <w:sz w:val="18"/>
          <w:szCs w:val="18"/>
        </w:rPr>
        <w:t xml:space="preserve"> and </w:t>
      </w:r>
      <w:hyperlink r:id="rId4">
        <w:r w:rsidRPr="000003F8">
          <w:rPr>
            <w:rStyle w:val="Hyperlink"/>
            <w:rFonts w:asciiTheme="minorHAnsi" w:eastAsia="Arial" w:hAnsiTheme="minorHAnsi" w:cstheme="minorHAnsi"/>
            <w:sz w:val="18"/>
            <w:szCs w:val="18"/>
          </w:rPr>
          <w:t>ethically</w:t>
        </w:r>
      </w:hyperlink>
      <w:r w:rsidRPr="000003F8">
        <w:rPr>
          <w:rFonts w:asciiTheme="minorHAnsi" w:eastAsia="Arial" w:hAnsiTheme="minorHAnsi" w:cstheme="minorHAnsi"/>
          <w:color w:val="000000" w:themeColor="text1"/>
          <w:sz w:val="18"/>
          <w:szCs w:val="18"/>
        </w:rPr>
        <w:t xml:space="preserve"> appropriate. For submission to medical product regulatory authorities trials should adhere to International Council for Harmonisation of Technical Requirements for Pharmaceuticals for Human Use (ICH) guidelines and some Member States may consider International Coalition of Medicines Regulatory Authorities (ICMRA) guidelines. In order to generate evidence which is robust enough to support decision making, such as widespread use of therapeutics or preventives, trials should be </w:t>
      </w:r>
      <w:hyperlink r:id="rId5">
        <w:r w:rsidRPr="000003F8">
          <w:rPr>
            <w:rStyle w:val="Hyperlink"/>
            <w:rFonts w:asciiTheme="minorHAnsi" w:eastAsia="Arial" w:hAnsiTheme="minorHAnsi" w:cstheme="minorHAnsi"/>
            <w:sz w:val="18"/>
            <w:szCs w:val="18"/>
          </w:rPr>
          <w:t>designed, conducted, analyzed and reported appropriately</w:t>
        </w:r>
      </w:hyperlink>
      <w:r w:rsidRPr="000003F8">
        <w:rPr>
          <w:rFonts w:asciiTheme="minorHAnsi" w:eastAsia="Arial" w:hAnsiTheme="minorHAnsi" w:cstheme="minorHAnsi"/>
          <w:color w:val="000000" w:themeColor="text1"/>
          <w:sz w:val="18"/>
          <w:szCs w:val="18"/>
        </w:rPr>
        <w:t>. A well-designed trial must also be practically feasible to conduct.</w:t>
      </w:r>
    </w:p>
  </w:footnote>
  <w:footnote w:id="5">
    <w:p w14:paraId="49846902" w14:textId="77777777" w:rsidR="0062157C" w:rsidRPr="000003F8" w:rsidRDefault="0062157C" w:rsidP="0062157C">
      <w:pPr>
        <w:pStyle w:val="FootnoteText"/>
        <w:rPr>
          <w:rFonts w:asciiTheme="minorHAnsi" w:eastAsia="Calibri" w:hAnsiTheme="minorHAnsi" w:cstheme="minorHAnsi"/>
          <w:sz w:val="18"/>
          <w:szCs w:val="18"/>
        </w:rPr>
      </w:pPr>
      <w:r w:rsidRPr="000003F8">
        <w:rPr>
          <w:rStyle w:val="FootnoteReference"/>
          <w:rFonts w:asciiTheme="minorHAnsi" w:hAnsiTheme="minorHAnsi" w:cstheme="minorHAnsi"/>
          <w:sz w:val="18"/>
          <w:szCs w:val="18"/>
        </w:rPr>
        <w:footnoteRef/>
      </w:r>
      <w:r w:rsidRPr="000003F8">
        <w:rPr>
          <w:rFonts w:asciiTheme="minorHAnsi" w:hAnsiTheme="minorHAnsi" w:cstheme="minorHAnsi"/>
          <w:sz w:val="18"/>
          <w:szCs w:val="18"/>
        </w:rPr>
        <w:t xml:space="preserve"> </w:t>
      </w:r>
      <w:r w:rsidRPr="000003F8">
        <w:rPr>
          <w:rFonts w:asciiTheme="minorHAnsi" w:eastAsia="Calibri" w:hAnsiTheme="minorHAnsi" w:cstheme="minorHAnsi"/>
          <w:sz w:val="18"/>
          <w:szCs w:val="18"/>
        </w:rPr>
        <w:t xml:space="preserve">And, where applicable, regional economic integration organisations  </w:t>
      </w:r>
    </w:p>
  </w:footnote>
  <w:footnote w:id="6">
    <w:p w14:paraId="338788C6" w14:textId="77777777" w:rsidR="00A73C97" w:rsidRPr="00F528DF" w:rsidRDefault="00A73C97" w:rsidP="00A73C97">
      <w:pPr>
        <w:pStyle w:val="FootnoteText"/>
        <w:rPr>
          <w:sz w:val="18"/>
          <w:szCs w:val="18"/>
        </w:rPr>
      </w:pPr>
      <w:r w:rsidRPr="00F528DF">
        <w:rPr>
          <w:rStyle w:val="FootnoteReference"/>
          <w:sz w:val="18"/>
          <w:szCs w:val="18"/>
        </w:rPr>
        <w:footnoteRef/>
      </w:r>
      <w:r w:rsidRPr="00F528DF">
        <w:rPr>
          <w:sz w:val="18"/>
          <w:szCs w:val="18"/>
        </w:rPr>
        <w:t xml:space="preserve"> World Health Organization. </w:t>
      </w:r>
      <w:hyperlink r:id="rId6">
        <w:r w:rsidRPr="00F528DF">
          <w:rPr>
            <w:rStyle w:val="Hyperlink"/>
            <w:sz w:val="18"/>
            <w:szCs w:val="18"/>
          </w:rPr>
          <w:t>Joint statement on public disclosure of results from clinical trials</w:t>
        </w:r>
      </w:hyperlink>
      <w:r w:rsidRPr="00F528DF">
        <w:rPr>
          <w:sz w:val="18"/>
          <w:szCs w:val="18"/>
        </w:rPr>
        <w:t>. 2017</w:t>
      </w:r>
    </w:p>
  </w:footnote>
  <w:footnote w:id="7">
    <w:p w14:paraId="7196D3C4" w14:textId="77777777" w:rsidR="00A73C97" w:rsidRPr="00F528DF" w:rsidRDefault="00A73C97" w:rsidP="00A73C97">
      <w:pPr>
        <w:pStyle w:val="FootnoteText"/>
        <w:rPr>
          <w:sz w:val="18"/>
          <w:szCs w:val="18"/>
          <w:lang w:val="fr-CH"/>
        </w:rPr>
      </w:pPr>
      <w:r w:rsidRPr="00F528DF">
        <w:rPr>
          <w:rStyle w:val="FootnoteReference"/>
          <w:sz w:val="18"/>
          <w:szCs w:val="18"/>
        </w:rPr>
        <w:footnoteRef/>
      </w:r>
      <w:r w:rsidRPr="00F528DF">
        <w:rPr>
          <w:sz w:val="18"/>
          <w:szCs w:val="18"/>
        </w:rPr>
        <w:t xml:space="preserve"> </w:t>
      </w:r>
      <w:r w:rsidRPr="00F528DF">
        <w:rPr>
          <w:sz w:val="18"/>
          <w:szCs w:val="18"/>
          <w:lang w:val="fr-CH"/>
        </w:rPr>
        <w:t xml:space="preserve">International Coalition of Medicines Regulatory Authorities (ICMRA) and World Health Organization. </w:t>
      </w:r>
      <w:hyperlink r:id="rId7" w:history="1">
        <w:r w:rsidRPr="00F528DF">
          <w:rPr>
            <w:rStyle w:val="Hyperlink"/>
            <w:sz w:val="18"/>
            <w:szCs w:val="18"/>
            <w:lang w:val="fr-CH"/>
          </w:rPr>
          <w:t>Joint Statement on transparency and data integrity</w:t>
        </w:r>
      </w:hyperlink>
      <w:r w:rsidRPr="00F528DF">
        <w:rPr>
          <w:sz w:val="18"/>
          <w:szCs w:val="18"/>
          <w:lang w:val="fr-CH"/>
        </w:rPr>
        <w:t>. 2021</w:t>
      </w:r>
    </w:p>
  </w:footnote>
  <w:footnote w:id="8">
    <w:p w14:paraId="05D0D759" w14:textId="77777777" w:rsidR="000003F8" w:rsidRPr="00525C6D" w:rsidRDefault="000003F8" w:rsidP="000003F8">
      <w:pPr>
        <w:pStyle w:val="FootnoteText"/>
        <w:rPr>
          <w:lang w:val="fr-CH"/>
        </w:rPr>
      </w:pPr>
      <w:r>
        <w:rPr>
          <w:rStyle w:val="FootnoteReference"/>
        </w:rPr>
        <w:footnoteRef/>
      </w:r>
      <w:r>
        <w:t xml:space="preserve"> </w:t>
      </w:r>
      <w:r>
        <w:rPr>
          <w:lang w:val="fr-CH"/>
        </w:rPr>
        <w:t xml:space="preserve">And </w:t>
      </w:r>
      <w:r w:rsidRPr="00101D67">
        <w:rPr>
          <w:sz w:val="18"/>
          <w:szCs w:val="18"/>
          <w:lang w:val="fr-CH"/>
        </w:rPr>
        <w:t>regional econcomic integration organizations, as appropriate</w:t>
      </w:r>
    </w:p>
  </w:footnote>
  <w:footnote w:id="9">
    <w:p w14:paraId="14007368" w14:textId="77777777" w:rsidR="000003F8" w:rsidRPr="00101D67" w:rsidRDefault="000003F8" w:rsidP="000003F8">
      <w:pPr>
        <w:pStyle w:val="FootnoteText"/>
        <w:rPr>
          <w:sz w:val="18"/>
          <w:szCs w:val="18"/>
          <w:lang w:val="fr-CH"/>
        </w:rPr>
      </w:pPr>
      <w:r w:rsidRPr="00101D67">
        <w:rPr>
          <w:rStyle w:val="FootnoteReference"/>
          <w:sz w:val="18"/>
          <w:szCs w:val="18"/>
        </w:rPr>
        <w:footnoteRef/>
      </w:r>
      <w:r w:rsidRPr="00101D67">
        <w:rPr>
          <w:sz w:val="18"/>
          <w:szCs w:val="18"/>
        </w:rPr>
        <w:t xml:space="preserve"> </w:t>
      </w:r>
      <w:r w:rsidRPr="00101D67">
        <w:rPr>
          <w:sz w:val="18"/>
          <w:szCs w:val="18"/>
          <w:lang w:val="fr-CH"/>
        </w:rPr>
        <w:t xml:space="preserve">And regional econcomic integration organizations, as appropriate.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19B5A" w14:textId="546E0B15" w:rsidR="00D156DF" w:rsidRPr="00BA1409" w:rsidRDefault="00D156DF" w:rsidP="00D156DF">
    <w:pPr>
      <w:pStyle w:val="Header"/>
      <w:jc w:val="right"/>
      <w:rPr>
        <w:lang w:val="en-US"/>
      </w:rPr>
    </w:pPr>
    <w:r w:rsidRPr="00BA1409">
      <w:rPr>
        <w:lang w:val="en-US"/>
      </w:rPr>
      <w:t xml:space="preserve">Text on screen at </w:t>
    </w:r>
    <w:r w:rsidR="002D75C9">
      <w:rPr>
        <w:lang w:val="en-US"/>
      </w:rPr>
      <w:t>21</w:t>
    </w:r>
    <w:r w:rsidR="00DF4303">
      <w:rPr>
        <w:lang w:val="en-US"/>
      </w:rPr>
      <w:t>hr</w:t>
    </w:r>
    <w:r w:rsidR="00DF05A3">
      <w:rPr>
        <w:lang w:val="en-US"/>
      </w:rPr>
      <w:t>3</w:t>
    </w:r>
    <w:r w:rsidR="002062F6">
      <w:rPr>
        <w:lang w:val="en-US"/>
      </w:rPr>
      <w:t>0</w:t>
    </w:r>
    <w:r w:rsidRPr="00BA1409">
      <w:rPr>
        <w:lang w:val="en-US"/>
      </w:rPr>
      <w:t xml:space="preserve"> on </w:t>
    </w:r>
    <w:r w:rsidR="000003F8">
      <w:rPr>
        <w:lang w:val="en-US"/>
      </w:rPr>
      <w:t>20</w:t>
    </w:r>
    <w:r w:rsidR="002D75C9">
      <w:rPr>
        <w:lang w:val="en-US"/>
      </w:rPr>
      <w:t xml:space="preserve"> </w:t>
    </w:r>
    <w:r w:rsidR="002062F6">
      <w:rPr>
        <w:lang w:val="en-US"/>
      </w:rPr>
      <w:t>May</w:t>
    </w:r>
    <w:r w:rsidRPr="00BA1409">
      <w:rPr>
        <w:lang w:val="en-US"/>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6CBE"/>
    <w:multiLevelType w:val="hybridMultilevel"/>
    <w:tmpl w:val="11BC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6584"/>
    <w:multiLevelType w:val="hybridMultilevel"/>
    <w:tmpl w:val="9E52280C"/>
    <w:lvl w:ilvl="0" w:tplc="5EE613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F72FD"/>
    <w:multiLevelType w:val="hybridMultilevel"/>
    <w:tmpl w:val="51A23B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611FE0"/>
    <w:multiLevelType w:val="hybridMultilevel"/>
    <w:tmpl w:val="FFFFFFFF"/>
    <w:lvl w:ilvl="0" w:tplc="1E16A794">
      <w:start w:val="1"/>
      <w:numFmt w:val="bullet"/>
      <w:lvlText w:val="·"/>
      <w:lvlJc w:val="left"/>
      <w:pPr>
        <w:ind w:left="720" w:hanging="360"/>
      </w:pPr>
      <w:rPr>
        <w:rFonts w:ascii="Symbol" w:hAnsi="Symbol" w:hint="default"/>
      </w:rPr>
    </w:lvl>
    <w:lvl w:ilvl="1" w:tplc="804C531C">
      <w:start w:val="1"/>
      <w:numFmt w:val="bullet"/>
      <w:lvlText w:val="o"/>
      <w:lvlJc w:val="left"/>
      <w:pPr>
        <w:ind w:left="1440" w:hanging="360"/>
      </w:pPr>
      <w:rPr>
        <w:rFonts w:ascii="Courier New" w:hAnsi="Courier New" w:hint="default"/>
      </w:rPr>
    </w:lvl>
    <w:lvl w:ilvl="2" w:tplc="D02482B6">
      <w:start w:val="1"/>
      <w:numFmt w:val="bullet"/>
      <w:lvlText w:val=""/>
      <w:lvlJc w:val="left"/>
      <w:pPr>
        <w:ind w:left="2160" w:hanging="360"/>
      </w:pPr>
      <w:rPr>
        <w:rFonts w:ascii="Wingdings" w:hAnsi="Wingdings" w:hint="default"/>
      </w:rPr>
    </w:lvl>
    <w:lvl w:ilvl="3" w:tplc="EC46B9F6">
      <w:start w:val="1"/>
      <w:numFmt w:val="bullet"/>
      <w:lvlText w:val=""/>
      <w:lvlJc w:val="left"/>
      <w:pPr>
        <w:ind w:left="2880" w:hanging="360"/>
      </w:pPr>
      <w:rPr>
        <w:rFonts w:ascii="Symbol" w:hAnsi="Symbol" w:hint="default"/>
      </w:rPr>
    </w:lvl>
    <w:lvl w:ilvl="4" w:tplc="BD9A3012">
      <w:start w:val="1"/>
      <w:numFmt w:val="bullet"/>
      <w:lvlText w:val="o"/>
      <w:lvlJc w:val="left"/>
      <w:pPr>
        <w:ind w:left="3600" w:hanging="360"/>
      </w:pPr>
      <w:rPr>
        <w:rFonts w:ascii="Courier New" w:hAnsi="Courier New" w:hint="default"/>
      </w:rPr>
    </w:lvl>
    <w:lvl w:ilvl="5" w:tplc="9D16FA38">
      <w:start w:val="1"/>
      <w:numFmt w:val="bullet"/>
      <w:lvlText w:val=""/>
      <w:lvlJc w:val="left"/>
      <w:pPr>
        <w:ind w:left="4320" w:hanging="360"/>
      </w:pPr>
      <w:rPr>
        <w:rFonts w:ascii="Wingdings" w:hAnsi="Wingdings" w:hint="default"/>
      </w:rPr>
    </w:lvl>
    <w:lvl w:ilvl="6" w:tplc="FF948330">
      <w:start w:val="1"/>
      <w:numFmt w:val="bullet"/>
      <w:lvlText w:val=""/>
      <w:lvlJc w:val="left"/>
      <w:pPr>
        <w:ind w:left="5040" w:hanging="360"/>
      </w:pPr>
      <w:rPr>
        <w:rFonts w:ascii="Symbol" w:hAnsi="Symbol" w:hint="default"/>
      </w:rPr>
    </w:lvl>
    <w:lvl w:ilvl="7" w:tplc="56820BC6">
      <w:start w:val="1"/>
      <w:numFmt w:val="bullet"/>
      <w:lvlText w:val="o"/>
      <w:lvlJc w:val="left"/>
      <w:pPr>
        <w:ind w:left="5760" w:hanging="360"/>
      </w:pPr>
      <w:rPr>
        <w:rFonts w:ascii="Courier New" w:hAnsi="Courier New" w:hint="default"/>
      </w:rPr>
    </w:lvl>
    <w:lvl w:ilvl="8" w:tplc="F5683AA0">
      <w:start w:val="1"/>
      <w:numFmt w:val="bullet"/>
      <w:lvlText w:val=""/>
      <w:lvlJc w:val="left"/>
      <w:pPr>
        <w:ind w:left="6480" w:hanging="360"/>
      </w:pPr>
      <w:rPr>
        <w:rFonts w:ascii="Wingdings" w:hAnsi="Wingdings" w:hint="default"/>
      </w:rPr>
    </w:lvl>
  </w:abstractNum>
  <w:abstractNum w:abstractNumId="4" w15:restartNumberingAfterBreak="0">
    <w:nsid w:val="0F817737"/>
    <w:multiLevelType w:val="hybridMultilevel"/>
    <w:tmpl w:val="96BC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B7B17"/>
    <w:multiLevelType w:val="hybridMultilevel"/>
    <w:tmpl w:val="023A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F05A1"/>
    <w:multiLevelType w:val="hybridMultilevel"/>
    <w:tmpl w:val="FFFFFFFF"/>
    <w:lvl w:ilvl="0" w:tplc="5A84CC8C">
      <w:start w:val="1"/>
      <w:numFmt w:val="bullet"/>
      <w:lvlText w:val="·"/>
      <w:lvlJc w:val="left"/>
      <w:pPr>
        <w:ind w:left="720" w:hanging="360"/>
      </w:pPr>
      <w:rPr>
        <w:rFonts w:ascii="Symbol" w:hAnsi="Symbol" w:hint="default"/>
      </w:rPr>
    </w:lvl>
    <w:lvl w:ilvl="1" w:tplc="A5F4106C">
      <w:start w:val="1"/>
      <w:numFmt w:val="bullet"/>
      <w:lvlText w:val="o"/>
      <w:lvlJc w:val="left"/>
      <w:pPr>
        <w:ind w:left="1440" w:hanging="360"/>
      </w:pPr>
      <w:rPr>
        <w:rFonts w:ascii="Courier New" w:hAnsi="Courier New" w:hint="default"/>
      </w:rPr>
    </w:lvl>
    <w:lvl w:ilvl="2" w:tplc="6986A2DE">
      <w:start w:val="1"/>
      <w:numFmt w:val="bullet"/>
      <w:lvlText w:val=""/>
      <w:lvlJc w:val="left"/>
      <w:pPr>
        <w:ind w:left="2160" w:hanging="360"/>
      </w:pPr>
      <w:rPr>
        <w:rFonts w:ascii="Wingdings" w:hAnsi="Wingdings" w:hint="default"/>
      </w:rPr>
    </w:lvl>
    <w:lvl w:ilvl="3" w:tplc="C3345254">
      <w:start w:val="1"/>
      <w:numFmt w:val="bullet"/>
      <w:lvlText w:val=""/>
      <w:lvlJc w:val="left"/>
      <w:pPr>
        <w:ind w:left="2880" w:hanging="360"/>
      </w:pPr>
      <w:rPr>
        <w:rFonts w:ascii="Symbol" w:hAnsi="Symbol" w:hint="default"/>
      </w:rPr>
    </w:lvl>
    <w:lvl w:ilvl="4" w:tplc="EC123104">
      <w:start w:val="1"/>
      <w:numFmt w:val="bullet"/>
      <w:lvlText w:val="o"/>
      <w:lvlJc w:val="left"/>
      <w:pPr>
        <w:ind w:left="3600" w:hanging="360"/>
      </w:pPr>
      <w:rPr>
        <w:rFonts w:ascii="Courier New" w:hAnsi="Courier New" w:hint="default"/>
      </w:rPr>
    </w:lvl>
    <w:lvl w:ilvl="5" w:tplc="CDE678AE">
      <w:start w:val="1"/>
      <w:numFmt w:val="bullet"/>
      <w:lvlText w:val=""/>
      <w:lvlJc w:val="left"/>
      <w:pPr>
        <w:ind w:left="4320" w:hanging="360"/>
      </w:pPr>
      <w:rPr>
        <w:rFonts w:ascii="Wingdings" w:hAnsi="Wingdings" w:hint="default"/>
      </w:rPr>
    </w:lvl>
    <w:lvl w:ilvl="6" w:tplc="38186504">
      <w:start w:val="1"/>
      <w:numFmt w:val="bullet"/>
      <w:lvlText w:val=""/>
      <w:lvlJc w:val="left"/>
      <w:pPr>
        <w:ind w:left="5040" w:hanging="360"/>
      </w:pPr>
      <w:rPr>
        <w:rFonts w:ascii="Symbol" w:hAnsi="Symbol" w:hint="default"/>
      </w:rPr>
    </w:lvl>
    <w:lvl w:ilvl="7" w:tplc="E8B4FD72">
      <w:start w:val="1"/>
      <w:numFmt w:val="bullet"/>
      <w:lvlText w:val="o"/>
      <w:lvlJc w:val="left"/>
      <w:pPr>
        <w:ind w:left="5760" w:hanging="360"/>
      </w:pPr>
      <w:rPr>
        <w:rFonts w:ascii="Courier New" w:hAnsi="Courier New" w:hint="default"/>
      </w:rPr>
    </w:lvl>
    <w:lvl w:ilvl="8" w:tplc="AFB64CA6">
      <w:start w:val="1"/>
      <w:numFmt w:val="bullet"/>
      <w:lvlText w:val=""/>
      <w:lvlJc w:val="left"/>
      <w:pPr>
        <w:ind w:left="6480" w:hanging="360"/>
      </w:pPr>
      <w:rPr>
        <w:rFonts w:ascii="Wingdings" w:hAnsi="Wingdings" w:hint="default"/>
      </w:rPr>
    </w:lvl>
  </w:abstractNum>
  <w:abstractNum w:abstractNumId="7" w15:restartNumberingAfterBreak="0">
    <w:nsid w:val="1A840338"/>
    <w:multiLevelType w:val="hybridMultilevel"/>
    <w:tmpl w:val="3208AC0C"/>
    <w:lvl w:ilvl="0" w:tplc="08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913B92"/>
    <w:multiLevelType w:val="hybridMultilevel"/>
    <w:tmpl w:val="F6BE6A0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A46B3"/>
    <w:multiLevelType w:val="hybridMultilevel"/>
    <w:tmpl w:val="F38E24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E39FD"/>
    <w:multiLevelType w:val="hybridMultilevel"/>
    <w:tmpl w:val="DF0EB7CC"/>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C7B52"/>
    <w:multiLevelType w:val="multilevel"/>
    <w:tmpl w:val="9C08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834BA9"/>
    <w:multiLevelType w:val="hybridMultilevel"/>
    <w:tmpl w:val="BB02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AD0A19"/>
    <w:multiLevelType w:val="hybridMultilevel"/>
    <w:tmpl w:val="FFFFFFFF"/>
    <w:lvl w:ilvl="0" w:tplc="2A824572">
      <w:start w:val="1"/>
      <w:numFmt w:val="bullet"/>
      <w:lvlText w:val="·"/>
      <w:lvlJc w:val="left"/>
      <w:pPr>
        <w:ind w:left="720" w:hanging="360"/>
      </w:pPr>
      <w:rPr>
        <w:rFonts w:ascii="Symbol" w:hAnsi="Symbol" w:hint="default"/>
      </w:rPr>
    </w:lvl>
    <w:lvl w:ilvl="1" w:tplc="8400535C">
      <w:start w:val="1"/>
      <w:numFmt w:val="bullet"/>
      <w:lvlText w:val="o"/>
      <w:lvlJc w:val="left"/>
      <w:pPr>
        <w:ind w:left="1440" w:hanging="360"/>
      </w:pPr>
      <w:rPr>
        <w:rFonts w:ascii="Courier New" w:hAnsi="Courier New" w:hint="default"/>
      </w:rPr>
    </w:lvl>
    <w:lvl w:ilvl="2" w:tplc="69FC4DC0">
      <w:start w:val="1"/>
      <w:numFmt w:val="bullet"/>
      <w:lvlText w:val=""/>
      <w:lvlJc w:val="left"/>
      <w:pPr>
        <w:ind w:left="2160" w:hanging="360"/>
      </w:pPr>
      <w:rPr>
        <w:rFonts w:ascii="Wingdings" w:hAnsi="Wingdings" w:hint="default"/>
      </w:rPr>
    </w:lvl>
    <w:lvl w:ilvl="3" w:tplc="2B38688C">
      <w:start w:val="1"/>
      <w:numFmt w:val="bullet"/>
      <w:lvlText w:val=""/>
      <w:lvlJc w:val="left"/>
      <w:pPr>
        <w:ind w:left="2880" w:hanging="360"/>
      </w:pPr>
      <w:rPr>
        <w:rFonts w:ascii="Symbol" w:hAnsi="Symbol" w:hint="default"/>
      </w:rPr>
    </w:lvl>
    <w:lvl w:ilvl="4" w:tplc="5714F468">
      <w:start w:val="1"/>
      <w:numFmt w:val="bullet"/>
      <w:lvlText w:val="o"/>
      <w:lvlJc w:val="left"/>
      <w:pPr>
        <w:ind w:left="3600" w:hanging="360"/>
      </w:pPr>
      <w:rPr>
        <w:rFonts w:ascii="Courier New" w:hAnsi="Courier New" w:hint="default"/>
      </w:rPr>
    </w:lvl>
    <w:lvl w:ilvl="5" w:tplc="D8549116">
      <w:start w:val="1"/>
      <w:numFmt w:val="bullet"/>
      <w:lvlText w:val=""/>
      <w:lvlJc w:val="left"/>
      <w:pPr>
        <w:ind w:left="4320" w:hanging="360"/>
      </w:pPr>
      <w:rPr>
        <w:rFonts w:ascii="Wingdings" w:hAnsi="Wingdings" w:hint="default"/>
      </w:rPr>
    </w:lvl>
    <w:lvl w:ilvl="6" w:tplc="9D44E9F8">
      <w:start w:val="1"/>
      <w:numFmt w:val="bullet"/>
      <w:lvlText w:val=""/>
      <w:lvlJc w:val="left"/>
      <w:pPr>
        <w:ind w:left="5040" w:hanging="360"/>
      </w:pPr>
      <w:rPr>
        <w:rFonts w:ascii="Symbol" w:hAnsi="Symbol" w:hint="default"/>
      </w:rPr>
    </w:lvl>
    <w:lvl w:ilvl="7" w:tplc="9552CF72">
      <w:start w:val="1"/>
      <w:numFmt w:val="bullet"/>
      <w:lvlText w:val="o"/>
      <w:lvlJc w:val="left"/>
      <w:pPr>
        <w:ind w:left="5760" w:hanging="360"/>
      </w:pPr>
      <w:rPr>
        <w:rFonts w:ascii="Courier New" w:hAnsi="Courier New" w:hint="default"/>
      </w:rPr>
    </w:lvl>
    <w:lvl w:ilvl="8" w:tplc="D70EE9E8">
      <w:start w:val="1"/>
      <w:numFmt w:val="bullet"/>
      <w:lvlText w:val=""/>
      <w:lvlJc w:val="left"/>
      <w:pPr>
        <w:ind w:left="6480" w:hanging="360"/>
      </w:pPr>
      <w:rPr>
        <w:rFonts w:ascii="Wingdings" w:hAnsi="Wingdings" w:hint="default"/>
      </w:rPr>
    </w:lvl>
  </w:abstractNum>
  <w:abstractNum w:abstractNumId="14" w15:restartNumberingAfterBreak="0">
    <w:nsid w:val="362F6DB9"/>
    <w:multiLevelType w:val="hybridMultilevel"/>
    <w:tmpl w:val="7CF0A932"/>
    <w:lvl w:ilvl="0" w:tplc="7C22B19A">
      <w:start w:val="1"/>
      <w:numFmt w:val="decimal"/>
      <w:lvlText w:val="(%1)"/>
      <w:lvlJc w:val="left"/>
      <w:pPr>
        <w:ind w:left="720" w:hanging="360"/>
      </w:pPr>
      <w:rPr>
        <w:rFonts w:hint="default"/>
      </w:rPr>
    </w:lvl>
    <w:lvl w:ilvl="1" w:tplc="5EE6133A">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D2195"/>
    <w:multiLevelType w:val="hybridMultilevel"/>
    <w:tmpl w:val="AE7C53A2"/>
    <w:lvl w:ilvl="0" w:tplc="C69A7D14">
      <w:start w:val="1"/>
      <w:numFmt w:val="lowerLetter"/>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AE513E"/>
    <w:multiLevelType w:val="hybridMultilevel"/>
    <w:tmpl w:val="0E7633CA"/>
    <w:lvl w:ilvl="0" w:tplc="DCB4891A">
      <w:start w:val="1"/>
      <w:numFmt w:val="lowerLetter"/>
      <w:lvlText w:val="(%1)"/>
      <w:lvlJc w:val="left"/>
      <w:pPr>
        <w:ind w:left="1080" w:hanging="360"/>
      </w:pPr>
      <w:rPr>
        <w:rFonts w:eastAsia="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C66364"/>
    <w:multiLevelType w:val="hybridMultilevel"/>
    <w:tmpl w:val="FFFFFFFF"/>
    <w:lvl w:ilvl="0" w:tplc="88187126">
      <w:start w:val="1"/>
      <w:numFmt w:val="bullet"/>
      <w:lvlText w:val="·"/>
      <w:lvlJc w:val="left"/>
      <w:pPr>
        <w:ind w:left="720" w:hanging="360"/>
      </w:pPr>
      <w:rPr>
        <w:rFonts w:ascii="Symbol" w:hAnsi="Symbol" w:hint="default"/>
      </w:rPr>
    </w:lvl>
    <w:lvl w:ilvl="1" w:tplc="196EDB04">
      <w:start w:val="1"/>
      <w:numFmt w:val="bullet"/>
      <w:lvlText w:val="o"/>
      <w:lvlJc w:val="left"/>
      <w:pPr>
        <w:ind w:left="1440" w:hanging="360"/>
      </w:pPr>
      <w:rPr>
        <w:rFonts w:ascii="Courier New" w:hAnsi="Courier New" w:hint="default"/>
      </w:rPr>
    </w:lvl>
    <w:lvl w:ilvl="2" w:tplc="D2744704">
      <w:start w:val="1"/>
      <w:numFmt w:val="bullet"/>
      <w:lvlText w:val=""/>
      <w:lvlJc w:val="left"/>
      <w:pPr>
        <w:ind w:left="2160" w:hanging="360"/>
      </w:pPr>
      <w:rPr>
        <w:rFonts w:ascii="Wingdings" w:hAnsi="Wingdings" w:hint="default"/>
      </w:rPr>
    </w:lvl>
    <w:lvl w:ilvl="3" w:tplc="B3F0A1DA">
      <w:start w:val="1"/>
      <w:numFmt w:val="bullet"/>
      <w:lvlText w:val=""/>
      <w:lvlJc w:val="left"/>
      <w:pPr>
        <w:ind w:left="2880" w:hanging="360"/>
      </w:pPr>
      <w:rPr>
        <w:rFonts w:ascii="Symbol" w:hAnsi="Symbol" w:hint="default"/>
      </w:rPr>
    </w:lvl>
    <w:lvl w:ilvl="4" w:tplc="AC1C447A">
      <w:start w:val="1"/>
      <w:numFmt w:val="bullet"/>
      <w:lvlText w:val="o"/>
      <w:lvlJc w:val="left"/>
      <w:pPr>
        <w:ind w:left="3600" w:hanging="360"/>
      </w:pPr>
      <w:rPr>
        <w:rFonts w:ascii="Courier New" w:hAnsi="Courier New" w:hint="default"/>
      </w:rPr>
    </w:lvl>
    <w:lvl w:ilvl="5" w:tplc="7842E2D4">
      <w:start w:val="1"/>
      <w:numFmt w:val="bullet"/>
      <w:lvlText w:val=""/>
      <w:lvlJc w:val="left"/>
      <w:pPr>
        <w:ind w:left="4320" w:hanging="360"/>
      </w:pPr>
      <w:rPr>
        <w:rFonts w:ascii="Wingdings" w:hAnsi="Wingdings" w:hint="default"/>
      </w:rPr>
    </w:lvl>
    <w:lvl w:ilvl="6" w:tplc="5F746668">
      <w:start w:val="1"/>
      <w:numFmt w:val="bullet"/>
      <w:lvlText w:val=""/>
      <w:lvlJc w:val="left"/>
      <w:pPr>
        <w:ind w:left="5040" w:hanging="360"/>
      </w:pPr>
      <w:rPr>
        <w:rFonts w:ascii="Symbol" w:hAnsi="Symbol" w:hint="default"/>
      </w:rPr>
    </w:lvl>
    <w:lvl w:ilvl="7" w:tplc="22E27B38">
      <w:start w:val="1"/>
      <w:numFmt w:val="bullet"/>
      <w:lvlText w:val="o"/>
      <w:lvlJc w:val="left"/>
      <w:pPr>
        <w:ind w:left="5760" w:hanging="360"/>
      </w:pPr>
      <w:rPr>
        <w:rFonts w:ascii="Courier New" w:hAnsi="Courier New" w:hint="default"/>
      </w:rPr>
    </w:lvl>
    <w:lvl w:ilvl="8" w:tplc="A8F06B7C">
      <w:start w:val="1"/>
      <w:numFmt w:val="bullet"/>
      <w:lvlText w:val=""/>
      <w:lvlJc w:val="left"/>
      <w:pPr>
        <w:ind w:left="6480" w:hanging="360"/>
      </w:pPr>
      <w:rPr>
        <w:rFonts w:ascii="Wingdings" w:hAnsi="Wingdings" w:hint="default"/>
      </w:rPr>
    </w:lvl>
  </w:abstractNum>
  <w:abstractNum w:abstractNumId="18" w15:restartNumberingAfterBreak="0">
    <w:nsid w:val="39745822"/>
    <w:multiLevelType w:val="hybridMultilevel"/>
    <w:tmpl w:val="C562E2B2"/>
    <w:lvl w:ilvl="0" w:tplc="5EE6133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FD4E85"/>
    <w:multiLevelType w:val="hybridMultilevel"/>
    <w:tmpl w:val="7CF0A932"/>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C256CA"/>
    <w:multiLevelType w:val="hybridMultilevel"/>
    <w:tmpl w:val="98324A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4C5117"/>
    <w:multiLevelType w:val="hybridMultilevel"/>
    <w:tmpl w:val="B88A10B8"/>
    <w:lvl w:ilvl="0" w:tplc="5EE6133A">
      <w:start w:val="1"/>
      <w:numFmt w:val="lowerLetter"/>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D445C47"/>
    <w:multiLevelType w:val="hybridMultilevel"/>
    <w:tmpl w:val="FFFFFFFF"/>
    <w:lvl w:ilvl="0" w:tplc="CB2E454A">
      <w:start w:val="1"/>
      <w:numFmt w:val="decimal"/>
      <w:lvlText w:val="%1."/>
      <w:lvlJc w:val="left"/>
      <w:pPr>
        <w:ind w:left="720" w:hanging="360"/>
      </w:pPr>
    </w:lvl>
    <w:lvl w:ilvl="1" w:tplc="809ED20E">
      <w:start w:val="1"/>
      <w:numFmt w:val="lowerLetter"/>
      <w:lvlText w:val="%2."/>
      <w:lvlJc w:val="left"/>
      <w:pPr>
        <w:ind w:left="1440" w:hanging="360"/>
      </w:pPr>
    </w:lvl>
    <w:lvl w:ilvl="2" w:tplc="E8DCCD28">
      <w:start w:val="1"/>
      <w:numFmt w:val="lowerRoman"/>
      <w:lvlText w:val="%3."/>
      <w:lvlJc w:val="right"/>
      <w:pPr>
        <w:ind w:left="2160" w:hanging="180"/>
      </w:pPr>
    </w:lvl>
    <w:lvl w:ilvl="3" w:tplc="F6B2B922">
      <w:start w:val="1"/>
      <w:numFmt w:val="decimal"/>
      <w:lvlText w:val="%4."/>
      <w:lvlJc w:val="left"/>
      <w:pPr>
        <w:ind w:left="2880" w:hanging="360"/>
      </w:pPr>
    </w:lvl>
    <w:lvl w:ilvl="4" w:tplc="C840FDF8">
      <w:start w:val="1"/>
      <w:numFmt w:val="lowerLetter"/>
      <w:lvlText w:val="%5."/>
      <w:lvlJc w:val="left"/>
      <w:pPr>
        <w:ind w:left="3600" w:hanging="360"/>
      </w:pPr>
    </w:lvl>
    <w:lvl w:ilvl="5" w:tplc="B67E9986">
      <w:start w:val="1"/>
      <w:numFmt w:val="lowerRoman"/>
      <w:lvlText w:val="%6."/>
      <w:lvlJc w:val="right"/>
      <w:pPr>
        <w:ind w:left="4320" w:hanging="180"/>
      </w:pPr>
    </w:lvl>
    <w:lvl w:ilvl="6" w:tplc="4EC8E824">
      <w:start w:val="1"/>
      <w:numFmt w:val="decimal"/>
      <w:lvlText w:val="%7."/>
      <w:lvlJc w:val="left"/>
      <w:pPr>
        <w:ind w:left="5040" w:hanging="360"/>
      </w:pPr>
    </w:lvl>
    <w:lvl w:ilvl="7" w:tplc="47BA2AAA">
      <w:start w:val="1"/>
      <w:numFmt w:val="lowerLetter"/>
      <w:lvlText w:val="%8."/>
      <w:lvlJc w:val="left"/>
      <w:pPr>
        <w:ind w:left="5760" w:hanging="360"/>
      </w:pPr>
    </w:lvl>
    <w:lvl w:ilvl="8" w:tplc="3FAAB638">
      <w:start w:val="1"/>
      <w:numFmt w:val="lowerRoman"/>
      <w:lvlText w:val="%9."/>
      <w:lvlJc w:val="right"/>
      <w:pPr>
        <w:ind w:left="6480" w:hanging="180"/>
      </w:pPr>
    </w:lvl>
  </w:abstractNum>
  <w:abstractNum w:abstractNumId="23" w15:restartNumberingAfterBreak="0">
    <w:nsid w:val="58DA6FBF"/>
    <w:multiLevelType w:val="hybridMultilevel"/>
    <w:tmpl w:val="FFFFFFFF"/>
    <w:lvl w:ilvl="0" w:tplc="A3B28AB6">
      <w:start w:val="1"/>
      <w:numFmt w:val="bullet"/>
      <w:lvlText w:val="·"/>
      <w:lvlJc w:val="left"/>
      <w:pPr>
        <w:ind w:left="720" w:hanging="360"/>
      </w:pPr>
      <w:rPr>
        <w:rFonts w:ascii="Symbol" w:hAnsi="Symbol" w:hint="default"/>
      </w:rPr>
    </w:lvl>
    <w:lvl w:ilvl="1" w:tplc="F1EA4864">
      <w:start w:val="1"/>
      <w:numFmt w:val="bullet"/>
      <w:lvlText w:val="o"/>
      <w:lvlJc w:val="left"/>
      <w:pPr>
        <w:ind w:left="1440" w:hanging="360"/>
      </w:pPr>
      <w:rPr>
        <w:rFonts w:ascii="Courier New" w:hAnsi="Courier New" w:hint="default"/>
      </w:rPr>
    </w:lvl>
    <w:lvl w:ilvl="2" w:tplc="8368C102">
      <w:start w:val="1"/>
      <w:numFmt w:val="bullet"/>
      <w:lvlText w:val=""/>
      <w:lvlJc w:val="left"/>
      <w:pPr>
        <w:ind w:left="2160" w:hanging="360"/>
      </w:pPr>
      <w:rPr>
        <w:rFonts w:ascii="Wingdings" w:hAnsi="Wingdings" w:hint="default"/>
      </w:rPr>
    </w:lvl>
    <w:lvl w:ilvl="3" w:tplc="0B3A2208">
      <w:start w:val="1"/>
      <w:numFmt w:val="bullet"/>
      <w:lvlText w:val=""/>
      <w:lvlJc w:val="left"/>
      <w:pPr>
        <w:ind w:left="2880" w:hanging="360"/>
      </w:pPr>
      <w:rPr>
        <w:rFonts w:ascii="Symbol" w:hAnsi="Symbol" w:hint="default"/>
      </w:rPr>
    </w:lvl>
    <w:lvl w:ilvl="4" w:tplc="EA0680C8">
      <w:start w:val="1"/>
      <w:numFmt w:val="bullet"/>
      <w:lvlText w:val="o"/>
      <w:lvlJc w:val="left"/>
      <w:pPr>
        <w:ind w:left="3600" w:hanging="360"/>
      </w:pPr>
      <w:rPr>
        <w:rFonts w:ascii="Courier New" w:hAnsi="Courier New" w:hint="default"/>
      </w:rPr>
    </w:lvl>
    <w:lvl w:ilvl="5" w:tplc="FD7E69CC">
      <w:start w:val="1"/>
      <w:numFmt w:val="bullet"/>
      <w:lvlText w:val=""/>
      <w:lvlJc w:val="left"/>
      <w:pPr>
        <w:ind w:left="4320" w:hanging="360"/>
      </w:pPr>
      <w:rPr>
        <w:rFonts w:ascii="Wingdings" w:hAnsi="Wingdings" w:hint="default"/>
      </w:rPr>
    </w:lvl>
    <w:lvl w:ilvl="6" w:tplc="20BE98EE">
      <w:start w:val="1"/>
      <w:numFmt w:val="bullet"/>
      <w:lvlText w:val=""/>
      <w:lvlJc w:val="left"/>
      <w:pPr>
        <w:ind w:left="5040" w:hanging="360"/>
      </w:pPr>
      <w:rPr>
        <w:rFonts w:ascii="Symbol" w:hAnsi="Symbol" w:hint="default"/>
      </w:rPr>
    </w:lvl>
    <w:lvl w:ilvl="7" w:tplc="54F82954">
      <w:start w:val="1"/>
      <w:numFmt w:val="bullet"/>
      <w:lvlText w:val="o"/>
      <w:lvlJc w:val="left"/>
      <w:pPr>
        <w:ind w:left="5760" w:hanging="360"/>
      </w:pPr>
      <w:rPr>
        <w:rFonts w:ascii="Courier New" w:hAnsi="Courier New" w:hint="default"/>
      </w:rPr>
    </w:lvl>
    <w:lvl w:ilvl="8" w:tplc="F790FEC2">
      <w:start w:val="1"/>
      <w:numFmt w:val="bullet"/>
      <w:lvlText w:val=""/>
      <w:lvlJc w:val="left"/>
      <w:pPr>
        <w:ind w:left="6480" w:hanging="360"/>
      </w:pPr>
      <w:rPr>
        <w:rFonts w:ascii="Wingdings" w:hAnsi="Wingdings" w:hint="default"/>
      </w:rPr>
    </w:lvl>
  </w:abstractNum>
  <w:abstractNum w:abstractNumId="24" w15:restartNumberingAfterBreak="0">
    <w:nsid w:val="619D097D"/>
    <w:multiLevelType w:val="hybridMultilevel"/>
    <w:tmpl w:val="86B418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E92239C"/>
    <w:multiLevelType w:val="hybridMultilevel"/>
    <w:tmpl w:val="051E8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C82254"/>
    <w:multiLevelType w:val="hybridMultilevel"/>
    <w:tmpl w:val="643E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16F04"/>
    <w:multiLevelType w:val="hybridMultilevel"/>
    <w:tmpl w:val="7CF0A932"/>
    <w:lvl w:ilvl="0" w:tplc="FFFFFFFF">
      <w:start w:val="1"/>
      <w:numFmt w:val="decimal"/>
      <w:lvlText w:val="(%1)"/>
      <w:lvlJc w:val="left"/>
      <w:pPr>
        <w:ind w:left="72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581A50"/>
    <w:multiLevelType w:val="multilevel"/>
    <w:tmpl w:val="3E90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D754D2E"/>
    <w:multiLevelType w:val="hybridMultilevel"/>
    <w:tmpl w:val="B51C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01A42"/>
    <w:multiLevelType w:val="hybridMultilevel"/>
    <w:tmpl w:val="7F184BAE"/>
    <w:lvl w:ilvl="0" w:tplc="E5C09CE4">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3498055">
    <w:abstractNumId w:val="17"/>
  </w:num>
  <w:num w:numId="2" w16cid:durableId="1807090773">
    <w:abstractNumId w:val="22"/>
  </w:num>
  <w:num w:numId="3" w16cid:durableId="1049109402">
    <w:abstractNumId w:val="6"/>
  </w:num>
  <w:num w:numId="4" w16cid:durableId="1233806873">
    <w:abstractNumId w:val="3"/>
  </w:num>
  <w:num w:numId="5" w16cid:durableId="763037346">
    <w:abstractNumId w:val="9"/>
  </w:num>
  <w:num w:numId="6" w16cid:durableId="2066643386">
    <w:abstractNumId w:val="12"/>
  </w:num>
  <w:num w:numId="7" w16cid:durableId="1431586139">
    <w:abstractNumId w:val="25"/>
  </w:num>
  <w:num w:numId="8" w16cid:durableId="2105374190">
    <w:abstractNumId w:val="28"/>
  </w:num>
  <w:num w:numId="9" w16cid:durableId="123351961">
    <w:abstractNumId w:val="11"/>
  </w:num>
  <w:num w:numId="10" w16cid:durableId="1802192283">
    <w:abstractNumId w:val="7"/>
  </w:num>
  <w:num w:numId="11" w16cid:durableId="1418558659">
    <w:abstractNumId w:val="8"/>
  </w:num>
  <w:num w:numId="12" w16cid:durableId="373971043">
    <w:abstractNumId w:val="1"/>
  </w:num>
  <w:num w:numId="13" w16cid:durableId="1413502956">
    <w:abstractNumId w:val="26"/>
  </w:num>
  <w:num w:numId="14" w16cid:durableId="1695617968">
    <w:abstractNumId w:val="5"/>
  </w:num>
  <w:num w:numId="15" w16cid:durableId="1538810891">
    <w:abstractNumId w:val="0"/>
  </w:num>
  <w:num w:numId="16" w16cid:durableId="1454404329">
    <w:abstractNumId w:val="21"/>
  </w:num>
  <w:num w:numId="17" w16cid:durableId="904685082">
    <w:abstractNumId w:val="10"/>
  </w:num>
  <w:num w:numId="18" w16cid:durableId="804280694">
    <w:abstractNumId w:val="18"/>
  </w:num>
  <w:num w:numId="19" w16cid:durableId="808281827">
    <w:abstractNumId w:val="29"/>
  </w:num>
  <w:num w:numId="20" w16cid:durableId="398984328">
    <w:abstractNumId w:val="13"/>
  </w:num>
  <w:num w:numId="21" w16cid:durableId="1877809925">
    <w:abstractNumId w:val="23"/>
  </w:num>
  <w:num w:numId="22" w16cid:durableId="915551670">
    <w:abstractNumId w:val="20"/>
  </w:num>
  <w:num w:numId="23" w16cid:durableId="1396972719">
    <w:abstractNumId w:val="15"/>
  </w:num>
  <w:num w:numId="24" w16cid:durableId="875191254">
    <w:abstractNumId w:val="16"/>
  </w:num>
  <w:num w:numId="25" w16cid:durableId="668366427">
    <w:abstractNumId w:val="2"/>
  </w:num>
  <w:num w:numId="26" w16cid:durableId="1493177657">
    <w:abstractNumId w:val="4"/>
  </w:num>
  <w:num w:numId="27" w16cid:durableId="1083257645">
    <w:abstractNumId w:val="24"/>
  </w:num>
  <w:num w:numId="28" w16cid:durableId="1760254040">
    <w:abstractNumId w:val="14"/>
  </w:num>
  <w:num w:numId="29" w16cid:durableId="2041078683">
    <w:abstractNumId w:val="30"/>
  </w:num>
  <w:num w:numId="30" w16cid:durableId="962883084">
    <w:abstractNumId w:val="27"/>
  </w:num>
  <w:num w:numId="31" w16cid:durableId="11441539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hideSpellingErrors/>
  <w:hideGrammaticalErrors/>
  <w:revisionView w:inkAnnotation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57C"/>
    <w:rsid w:val="000003F8"/>
    <w:rsid w:val="000006F2"/>
    <w:rsid w:val="00002089"/>
    <w:rsid w:val="00002A67"/>
    <w:rsid w:val="000045E1"/>
    <w:rsid w:val="0000538C"/>
    <w:rsid w:val="00012AAD"/>
    <w:rsid w:val="0001401C"/>
    <w:rsid w:val="00016318"/>
    <w:rsid w:val="000169FC"/>
    <w:rsid w:val="00021EBD"/>
    <w:rsid w:val="00024F10"/>
    <w:rsid w:val="000326C4"/>
    <w:rsid w:val="00032BFF"/>
    <w:rsid w:val="00033BB5"/>
    <w:rsid w:val="000354D4"/>
    <w:rsid w:val="00040E99"/>
    <w:rsid w:val="00045438"/>
    <w:rsid w:val="00051F77"/>
    <w:rsid w:val="0005251F"/>
    <w:rsid w:val="000543CB"/>
    <w:rsid w:val="00057B3C"/>
    <w:rsid w:val="000625B7"/>
    <w:rsid w:val="000645F8"/>
    <w:rsid w:val="000652E8"/>
    <w:rsid w:val="00067BCB"/>
    <w:rsid w:val="00067C4C"/>
    <w:rsid w:val="000706C7"/>
    <w:rsid w:val="00071089"/>
    <w:rsid w:val="00074975"/>
    <w:rsid w:val="0007607E"/>
    <w:rsid w:val="00077B94"/>
    <w:rsid w:val="00080C2E"/>
    <w:rsid w:val="00083F5E"/>
    <w:rsid w:val="0008498C"/>
    <w:rsid w:val="000872D9"/>
    <w:rsid w:val="00087EA7"/>
    <w:rsid w:val="000A05BA"/>
    <w:rsid w:val="000A2949"/>
    <w:rsid w:val="000A5B30"/>
    <w:rsid w:val="000A5C05"/>
    <w:rsid w:val="000A6963"/>
    <w:rsid w:val="000A7BA6"/>
    <w:rsid w:val="000B2D13"/>
    <w:rsid w:val="000B3256"/>
    <w:rsid w:val="000B3556"/>
    <w:rsid w:val="000B46E5"/>
    <w:rsid w:val="000B5F99"/>
    <w:rsid w:val="000B7552"/>
    <w:rsid w:val="000C6689"/>
    <w:rsid w:val="000D0048"/>
    <w:rsid w:val="000D0B55"/>
    <w:rsid w:val="000D4019"/>
    <w:rsid w:val="000D41D3"/>
    <w:rsid w:val="000D465C"/>
    <w:rsid w:val="000D7E08"/>
    <w:rsid w:val="000E270C"/>
    <w:rsid w:val="000E33E5"/>
    <w:rsid w:val="000E40F5"/>
    <w:rsid w:val="000E6063"/>
    <w:rsid w:val="000E7287"/>
    <w:rsid w:val="000E73EB"/>
    <w:rsid w:val="000F1EB5"/>
    <w:rsid w:val="000F2985"/>
    <w:rsid w:val="001017B8"/>
    <w:rsid w:val="00101D67"/>
    <w:rsid w:val="00102BEA"/>
    <w:rsid w:val="00105D4E"/>
    <w:rsid w:val="00111FD1"/>
    <w:rsid w:val="001147C7"/>
    <w:rsid w:val="00116EE4"/>
    <w:rsid w:val="00117C00"/>
    <w:rsid w:val="00120BD3"/>
    <w:rsid w:val="00125044"/>
    <w:rsid w:val="001318BA"/>
    <w:rsid w:val="00131EF4"/>
    <w:rsid w:val="00131F81"/>
    <w:rsid w:val="001325CC"/>
    <w:rsid w:val="00135253"/>
    <w:rsid w:val="001432CF"/>
    <w:rsid w:val="00143E3E"/>
    <w:rsid w:val="001455E8"/>
    <w:rsid w:val="00146A69"/>
    <w:rsid w:val="00146C36"/>
    <w:rsid w:val="00147C76"/>
    <w:rsid w:val="00150F47"/>
    <w:rsid w:val="00151165"/>
    <w:rsid w:val="00152055"/>
    <w:rsid w:val="00154962"/>
    <w:rsid w:val="00160E1E"/>
    <w:rsid w:val="00161170"/>
    <w:rsid w:val="0016573F"/>
    <w:rsid w:val="00171BE6"/>
    <w:rsid w:val="00174124"/>
    <w:rsid w:val="00176908"/>
    <w:rsid w:val="00176A22"/>
    <w:rsid w:val="00177DE4"/>
    <w:rsid w:val="00183666"/>
    <w:rsid w:val="00185492"/>
    <w:rsid w:val="00191407"/>
    <w:rsid w:val="00191AA2"/>
    <w:rsid w:val="0019486E"/>
    <w:rsid w:val="0019555A"/>
    <w:rsid w:val="0019582D"/>
    <w:rsid w:val="0019752A"/>
    <w:rsid w:val="00197783"/>
    <w:rsid w:val="001A02C4"/>
    <w:rsid w:val="001A214A"/>
    <w:rsid w:val="001A2616"/>
    <w:rsid w:val="001A5DBB"/>
    <w:rsid w:val="001B6801"/>
    <w:rsid w:val="001C0CE3"/>
    <w:rsid w:val="001C10C9"/>
    <w:rsid w:val="001C6695"/>
    <w:rsid w:val="001D2BA9"/>
    <w:rsid w:val="001D2E16"/>
    <w:rsid w:val="001D5519"/>
    <w:rsid w:val="001D694F"/>
    <w:rsid w:val="001D6AB4"/>
    <w:rsid w:val="001D72BE"/>
    <w:rsid w:val="001E04C3"/>
    <w:rsid w:val="001E263B"/>
    <w:rsid w:val="001E31ED"/>
    <w:rsid w:val="001E46BA"/>
    <w:rsid w:val="001E475C"/>
    <w:rsid w:val="001F371B"/>
    <w:rsid w:val="001F49AC"/>
    <w:rsid w:val="001F5652"/>
    <w:rsid w:val="001F5DA0"/>
    <w:rsid w:val="001F682A"/>
    <w:rsid w:val="00201493"/>
    <w:rsid w:val="002062F6"/>
    <w:rsid w:val="00206FDE"/>
    <w:rsid w:val="00210032"/>
    <w:rsid w:val="00215407"/>
    <w:rsid w:val="00217A80"/>
    <w:rsid w:val="00220B9B"/>
    <w:rsid w:val="002273DB"/>
    <w:rsid w:val="00230EAE"/>
    <w:rsid w:val="00233F11"/>
    <w:rsid w:val="00235ABC"/>
    <w:rsid w:val="00237FF9"/>
    <w:rsid w:val="00244062"/>
    <w:rsid w:val="00251817"/>
    <w:rsid w:val="00252117"/>
    <w:rsid w:val="00252339"/>
    <w:rsid w:val="00253D37"/>
    <w:rsid w:val="00255E95"/>
    <w:rsid w:val="00256526"/>
    <w:rsid w:val="0025704D"/>
    <w:rsid w:val="00260004"/>
    <w:rsid w:val="00260B66"/>
    <w:rsid w:val="00260EDC"/>
    <w:rsid w:val="00264266"/>
    <w:rsid w:val="00265DC7"/>
    <w:rsid w:val="00271811"/>
    <w:rsid w:val="00272666"/>
    <w:rsid w:val="002771DA"/>
    <w:rsid w:val="00284FA6"/>
    <w:rsid w:val="00285792"/>
    <w:rsid w:val="0028755C"/>
    <w:rsid w:val="00293C78"/>
    <w:rsid w:val="002942CF"/>
    <w:rsid w:val="00294C8A"/>
    <w:rsid w:val="002959CD"/>
    <w:rsid w:val="002967C8"/>
    <w:rsid w:val="00297690"/>
    <w:rsid w:val="002A2C83"/>
    <w:rsid w:val="002A6532"/>
    <w:rsid w:val="002A66D0"/>
    <w:rsid w:val="002A7F95"/>
    <w:rsid w:val="002B3AD6"/>
    <w:rsid w:val="002B6CC5"/>
    <w:rsid w:val="002B7180"/>
    <w:rsid w:val="002C32C0"/>
    <w:rsid w:val="002C53D7"/>
    <w:rsid w:val="002C670B"/>
    <w:rsid w:val="002D0703"/>
    <w:rsid w:val="002D4409"/>
    <w:rsid w:val="002D4B43"/>
    <w:rsid w:val="002D69AD"/>
    <w:rsid w:val="002D6C32"/>
    <w:rsid w:val="002D75C9"/>
    <w:rsid w:val="002F430D"/>
    <w:rsid w:val="002F5FF3"/>
    <w:rsid w:val="003025B9"/>
    <w:rsid w:val="00302E9F"/>
    <w:rsid w:val="00303B6B"/>
    <w:rsid w:val="00303F41"/>
    <w:rsid w:val="00304E73"/>
    <w:rsid w:val="00304E93"/>
    <w:rsid w:val="00311ECC"/>
    <w:rsid w:val="0031351D"/>
    <w:rsid w:val="00317A37"/>
    <w:rsid w:val="00323DED"/>
    <w:rsid w:val="00324B8B"/>
    <w:rsid w:val="00330EBD"/>
    <w:rsid w:val="00334F53"/>
    <w:rsid w:val="003400BF"/>
    <w:rsid w:val="00342F54"/>
    <w:rsid w:val="00343B43"/>
    <w:rsid w:val="00353BE0"/>
    <w:rsid w:val="00357201"/>
    <w:rsid w:val="00357DCC"/>
    <w:rsid w:val="00360E04"/>
    <w:rsid w:val="0036181C"/>
    <w:rsid w:val="003639DD"/>
    <w:rsid w:val="00366C7E"/>
    <w:rsid w:val="00366D10"/>
    <w:rsid w:val="00367159"/>
    <w:rsid w:val="003676FB"/>
    <w:rsid w:val="00371ED7"/>
    <w:rsid w:val="0037551D"/>
    <w:rsid w:val="00375581"/>
    <w:rsid w:val="00375F33"/>
    <w:rsid w:val="00376BBF"/>
    <w:rsid w:val="003771F9"/>
    <w:rsid w:val="00380041"/>
    <w:rsid w:val="003804E6"/>
    <w:rsid w:val="0038174A"/>
    <w:rsid w:val="003820CF"/>
    <w:rsid w:val="00383EFF"/>
    <w:rsid w:val="00386C5B"/>
    <w:rsid w:val="00392303"/>
    <w:rsid w:val="003947A4"/>
    <w:rsid w:val="00395A21"/>
    <w:rsid w:val="00396B71"/>
    <w:rsid w:val="0039725C"/>
    <w:rsid w:val="0039756C"/>
    <w:rsid w:val="003A5C1B"/>
    <w:rsid w:val="003B07E5"/>
    <w:rsid w:val="003B07F7"/>
    <w:rsid w:val="003B1563"/>
    <w:rsid w:val="003C04CC"/>
    <w:rsid w:val="003C293B"/>
    <w:rsid w:val="003C5BEC"/>
    <w:rsid w:val="003D0C05"/>
    <w:rsid w:val="003D5647"/>
    <w:rsid w:val="003D5DAA"/>
    <w:rsid w:val="003E4B7A"/>
    <w:rsid w:val="003F038B"/>
    <w:rsid w:val="003F43BE"/>
    <w:rsid w:val="003F77F3"/>
    <w:rsid w:val="0040094F"/>
    <w:rsid w:val="004118D2"/>
    <w:rsid w:val="004126CC"/>
    <w:rsid w:val="004145E4"/>
    <w:rsid w:val="00416C91"/>
    <w:rsid w:val="004200D5"/>
    <w:rsid w:val="0042799D"/>
    <w:rsid w:val="00430FD5"/>
    <w:rsid w:val="0043287D"/>
    <w:rsid w:val="00435994"/>
    <w:rsid w:val="004401C2"/>
    <w:rsid w:val="00442381"/>
    <w:rsid w:val="004453CF"/>
    <w:rsid w:val="00446539"/>
    <w:rsid w:val="00446DA0"/>
    <w:rsid w:val="00447797"/>
    <w:rsid w:val="00450370"/>
    <w:rsid w:val="004506D9"/>
    <w:rsid w:val="00451B77"/>
    <w:rsid w:val="00456424"/>
    <w:rsid w:val="00461E7A"/>
    <w:rsid w:val="00462C98"/>
    <w:rsid w:val="00465078"/>
    <w:rsid w:val="00470F2B"/>
    <w:rsid w:val="00472816"/>
    <w:rsid w:val="00475A59"/>
    <w:rsid w:val="00475F05"/>
    <w:rsid w:val="00480938"/>
    <w:rsid w:val="00480AE1"/>
    <w:rsid w:val="00480DA3"/>
    <w:rsid w:val="00480FD6"/>
    <w:rsid w:val="004824E2"/>
    <w:rsid w:val="004845A5"/>
    <w:rsid w:val="004916C8"/>
    <w:rsid w:val="00491BC4"/>
    <w:rsid w:val="004933C0"/>
    <w:rsid w:val="0049542C"/>
    <w:rsid w:val="004A195B"/>
    <w:rsid w:val="004A567A"/>
    <w:rsid w:val="004B0768"/>
    <w:rsid w:val="004B09D9"/>
    <w:rsid w:val="004B0C6F"/>
    <w:rsid w:val="004B1468"/>
    <w:rsid w:val="004B315D"/>
    <w:rsid w:val="004B68E4"/>
    <w:rsid w:val="004B69A3"/>
    <w:rsid w:val="004B7F5B"/>
    <w:rsid w:val="004C00DE"/>
    <w:rsid w:val="004C134D"/>
    <w:rsid w:val="004C604B"/>
    <w:rsid w:val="004C71D8"/>
    <w:rsid w:val="004D045A"/>
    <w:rsid w:val="004D08BB"/>
    <w:rsid w:val="004D34E3"/>
    <w:rsid w:val="004D4D16"/>
    <w:rsid w:val="004D6072"/>
    <w:rsid w:val="004D6457"/>
    <w:rsid w:val="004E0952"/>
    <w:rsid w:val="004E4AFF"/>
    <w:rsid w:val="004F0ED5"/>
    <w:rsid w:val="004F6D2D"/>
    <w:rsid w:val="004F760C"/>
    <w:rsid w:val="00500E01"/>
    <w:rsid w:val="00503203"/>
    <w:rsid w:val="005033BF"/>
    <w:rsid w:val="0050496B"/>
    <w:rsid w:val="00504C42"/>
    <w:rsid w:val="00507ADF"/>
    <w:rsid w:val="00507C33"/>
    <w:rsid w:val="005146F1"/>
    <w:rsid w:val="00514706"/>
    <w:rsid w:val="00515F3C"/>
    <w:rsid w:val="005221EA"/>
    <w:rsid w:val="005238A1"/>
    <w:rsid w:val="00525C6D"/>
    <w:rsid w:val="00532DD8"/>
    <w:rsid w:val="00535E78"/>
    <w:rsid w:val="00536D74"/>
    <w:rsid w:val="00540A0D"/>
    <w:rsid w:val="005432DF"/>
    <w:rsid w:val="00545C5C"/>
    <w:rsid w:val="00545C7B"/>
    <w:rsid w:val="00550E81"/>
    <w:rsid w:val="00553C0C"/>
    <w:rsid w:val="00555672"/>
    <w:rsid w:val="005642A7"/>
    <w:rsid w:val="00573F26"/>
    <w:rsid w:val="00574249"/>
    <w:rsid w:val="00574482"/>
    <w:rsid w:val="0057489E"/>
    <w:rsid w:val="00574BF0"/>
    <w:rsid w:val="00575907"/>
    <w:rsid w:val="00576428"/>
    <w:rsid w:val="00581CCB"/>
    <w:rsid w:val="00583E97"/>
    <w:rsid w:val="00583EF7"/>
    <w:rsid w:val="0058551F"/>
    <w:rsid w:val="00590CD3"/>
    <w:rsid w:val="00594C51"/>
    <w:rsid w:val="005959D4"/>
    <w:rsid w:val="005A2978"/>
    <w:rsid w:val="005A2DCC"/>
    <w:rsid w:val="005A3B5C"/>
    <w:rsid w:val="005A7F21"/>
    <w:rsid w:val="005B1B82"/>
    <w:rsid w:val="005B317C"/>
    <w:rsid w:val="005B695F"/>
    <w:rsid w:val="005C7FF3"/>
    <w:rsid w:val="005D144E"/>
    <w:rsid w:val="005D1B34"/>
    <w:rsid w:val="005D2A1C"/>
    <w:rsid w:val="005E146C"/>
    <w:rsid w:val="005E2927"/>
    <w:rsid w:val="005E2FB8"/>
    <w:rsid w:val="005E37BB"/>
    <w:rsid w:val="005E4783"/>
    <w:rsid w:val="005E5383"/>
    <w:rsid w:val="005E5CF7"/>
    <w:rsid w:val="005E6DDC"/>
    <w:rsid w:val="005E713B"/>
    <w:rsid w:val="005F1CFC"/>
    <w:rsid w:val="005F203D"/>
    <w:rsid w:val="005F240E"/>
    <w:rsid w:val="005F4DDA"/>
    <w:rsid w:val="005F58DA"/>
    <w:rsid w:val="005F6432"/>
    <w:rsid w:val="005F6D93"/>
    <w:rsid w:val="006041AB"/>
    <w:rsid w:val="00606DC7"/>
    <w:rsid w:val="0060728A"/>
    <w:rsid w:val="00610D5A"/>
    <w:rsid w:val="00613B10"/>
    <w:rsid w:val="00616C3E"/>
    <w:rsid w:val="0062157C"/>
    <w:rsid w:val="006336F1"/>
    <w:rsid w:val="00635752"/>
    <w:rsid w:val="00637D67"/>
    <w:rsid w:val="00644C0B"/>
    <w:rsid w:val="00645C2E"/>
    <w:rsid w:val="00646626"/>
    <w:rsid w:val="00650494"/>
    <w:rsid w:val="00650C2B"/>
    <w:rsid w:val="0065138D"/>
    <w:rsid w:val="0065621C"/>
    <w:rsid w:val="00657FAE"/>
    <w:rsid w:val="00660E79"/>
    <w:rsid w:val="00662B6E"/>
    <w:rsid w:val="00663F9E"/>
    <w:rsid w:val="0066499A"/>
    <w:rsid w:val="00667843"/>
    <w:rsid w:val="00671F8D"/>
    <w:rsid w:val="00675EB5"/>
    <w:rsid w:val="006815A1"/>
    <w:rsid w:val="00681F12"/>
    <w:rsid w:val="00681F25"/>
    <w:rsid w:val="00682827"/>
    <w:rsid w:val="006875DD"/>
    <w:rsid w:val="00693AC4"/>
    <w:rsid w:val="006955C0"/>
    <w:rsid w:val="00695691"/>
    <w:rsid w:val="006A103C"/>
    <w:rsid w:val="006A40C6"/>
    <w:rsid w:val="006A4E7D"/>
    <w:rsid w:val="006A6F2A"/>
    <w:rsid w:val="006B1A79"/>
    <w:rsid w:val="006B1FF0"/>
    <w:rsid w:val="006B4FCB"/>
    <w:rsid w:val="006C25B7"/>
    <w:rsid w:val="006C668E"/>
    <w:rsid w:val="006C6E2D"/>
    <w:rsid w:val="006D0386"/>
    <w:rsid w:val="006D0617"/>
    <w:rsid w:val="006D38A8"/>
    <w:rsid w:val="006E102F"/>
    <w:rsid w:val="006E35A0"/>
    <w:rsid w:val="006E3BFA"/>
    <w:rsid w:val="006E78F7"/>
    <w:rsid w:val="006F04BA"/>
    <w:rsid w:val="006F05B9"/>
    <w:rsid w:val="006F1806"/>
    <w:rsid w:val="006F1D31"/>
    <w:rsid w:val="006F32F2"/>
    <w:rsid w:val="006F3DA9"/>
    <w:rsid w:val="00700425"/>
    <w:rsid w:val="00703FA6"/>
    <w:rsid w:val="00703FBC"/>
    <w:rsid w:val="0070455E"/>
    <w:rsid w:val="00704D3D"/>
    <w:rsid w:val="00705457"/>
    <w:rsid w:val="00710FED"/>
    <w:rsid w:val="00711AC0"/>
    <w:rsid w:val="00714F30"/>
    <w:rsid w:val="00715C42"/>
    <w:rsid w:val="00715CB9"/>
    <w:rsid w:val="007258DA"/>
    <w:rsid w:val="00725A1A"/>
    <w:rsid w:val="00726F38"/>
    <w:rsid w:val="00733C3F"/>
    <w:rsid w:val="00733ED4"/>
    <w:rsid w:val="00735139"/>
    <w:rsid w:val="00735546"/>
    <w:rsid w:val="00741CCC"/>
    <w:rsid w:val="0074762F"/>
    <w:rsid w:val="00747A9F"/>
    <w:rsid w:val="0075221B"/>
    <w:rsid w:val="00752B82"/>
    <w:rsid w:val="00753C28"/>
    <w:rsid w:val="00764ED7"/>
    <w:rsid w:val="007723EA"/>
    <w:rsid w:val="007745B2"/>
    <w:rsid w:val="00774858"/>
    <w:rsid w:val="007763B1"/>
    <w:rsid w:val="00785FBF"/>
    <w:rsid w:val="00787964"/>
    <w:rsid w:val="007901D8"/>
    <w:rsid w:val="00790AF6"/>
    <w:rsid w:val="00792A10"/>
    <w:rsid w:val="00795573"/>
    <w:rsid w:val="007A061A"/>
    <w:rsid w:val="007A1037"/>
    <w:rsid w:val="007A39B0"/>
    <w:rsid w:val="007A4729"/>
    <w:rsid w:val="007A7B78"/>
    <w:rsid w:val="007B0DD8"/>
    <w:rsid w:val="007B1528"/>
    <w:rsid w:val="007B3AD7"/>
    <w:rsid w:val="007B709B"/>
    <w:rsid w:val="007C77BE"/>
    <w:rsid w:val="007D03A3"/>
    <w:rsid w:val="007D48F5"/>
    <w:rsid w:val="007D5859"/>
    <w:rsid w:val="007D5986"/>
    <w:rsid w:val="007D5C8A"/>
    <w:rsid w:val="007D5F50"/>
    <w:rsid w:val="007D6813"/>
    <w:rsid w:val="007E0391"/>
    <w:rsid w:val="007E7C1E"/>
    <w:rsid w:val="007F083B"/>
    <w:rsid w:val="007F31CF"/>
    <w:rsid w:val="007F582B"/>
    <w:rsid w:val="00802557"/>
    <w:rsid w:val="008058C9"/>
    <w:rsid w:val="008071F7"/>
    <w:rsid w:val="00810BC7"/>
    <w:rsid w:val="008111A1"/>
    <w:rsid w:val="00812A05"/>
    <w:rsid w:val="0081444A"/>
    <w:rsid w:val="008145A5"/>
    <w:rsid w:val="00814F46"/>
    <w:rsid w:val="00837C90"/>
    <w:rsid w:val="008408ED"/>
    <w:rsid w:val="00844152"/>
    <w:rsid w:val="00844619"/>
    <w:rsid w:val="008515A8"/>
    <w:rsid w:val="00851ADE"/>
    <w:rsid w:val="00851AED"/>
    <w:rsid w:val="0085269A"/>
    <w:rsid w:val="00853547"/>
    <w:rsid w:val="00855E9E"/>
    <w:rsid w:val="008568B3"/>
    <w:rsid w:val="008610A6"/>
    <w:rsid w:val="00861A1F"/>
    <w:rsid w:val="00863549"/>
    <w:rsid w:val="0086615D"/>
    <w:rsid w:val="00870B4B"/>
    <w:rsid w:val="008738A2"/>
    <w:rsid w:val="00874328"/>
    <w:rsid w:val="00874DDC"/>
    <w:rsid w:val="00875F78"/>
    <w:rsid w:val="00880A29"/>
    <w:rsid w:val="00881699"/>
    <w:rsid w:val="00882174"/>
    <w:rsid w:val="00883AF8"/>
    <w:rsid w:val="008860AA"/>
    <w:rsid w:val="00893156"/>
    <w:rsid w:val="00893A88"/>
    <w:rsid w:val="00895A02"/>
    <w:rsid w:val="008A121D"/>
    <w:rsid w:val="008A4F19"/>
    <w:rsid w:val="008A5D3C"/>
    <w:rsid w:val="008A67DA"/>
    <w:rsid w:val="008B3598"/>
    <w:rsid w:val="008B3D0A"/>
    <w:rsid w:val="008B7096"/>
    <w:rsid w:val="008B7F6C"/>
    <w:rsid w:val="008C3B41"/>
    <w:rsid w:val="008C499D"/>
    <w:rsid w:val="008C7668"/>
    <w:rsid w:val="008C7B25"/>
    <w:rsid w:val="008C7F2D"/>
    <w:rsid w:val="008D0ED2"/>
    <w:rsid w:val="008D1329"/>
    <w:rsid w:val="008D18D5"/>
    <w:rsid w:val="008D1979"/>
    <w:rsid w:val="008D3BE5"/>
    <w:rsid w:val="008D3D0C"/>
    <w:rsid w:val="008D53BB"/>
    <w:rsid w:val="008E016F"/>
    <w:rsid w:val="008E12F3"/>
    <w:rsid w:val="008E39A7"/>
    <w:rsid w:val="008E3E35"/>
    <w:rsid w:val="008E3EA0"/>
    <w:rsid w:val="008E54AA"/>
    <w:rsid w:val="008E7845"/>
    <w:rsid w:val="008F3346"/>
    <w:rsid w:val="008F526F"/>
    <w:rsid w:val="00900DBB"/>
    <w:rsid w:val="00901E07"/>
    <w:rsid w:val="00902504"/>
    <w:rsid w:val="00902E2E"/>
    <w:rsid w:val="00903132"/>
    <w:rsid w:val="009035A7"/>
    <w:rsid w:val="00904FC1"/>
    <w:rsid w:val="00905FA8"/>
    <w:rsid w:val="009073B9"/>
    <w:rsid w:val="00907A79"/>
    <w:rsid w:val="00907FB5"/>
    <w:rsid w:val="009143DE"/>
    <w:rsid w:val="00916552"/>
    <w:rsid w:val="00921098"/>
    <w:rsid w:val="009211C2"/>
    <w:rsid w:val="0092204E"/>
    <w:rsid w:val="009240E1"/>
    <w:rsid w:val="009273F5"/>
    <w:rsid w:val="009324B6"/>
    <w:rsid w:val="009373CF"/>
    <w:rsid w:val="0094584B"/>
    <w:rsid w:val="00950305"/>
    <w:rsid w:val="009512B0"/>
    <w:rsid w:val="009522E9"/>
    <w:rsid w:val="0095365E"/>
    <w:rsid w:val="00956294"/>
    <w:rsid w:val="009577BD"/>
    <w:rsid w:val="00957B0D"/>
    <w:rsid w:val="00964328"/>
    <w:rsid w:val="009725EE"/>
    <w:rsid w:val="0097305F"/>
    <w:rsid w:val="009738D7"/>
    <w:rsid w:val="009749A3"/>
    <w:rsid w:val="00977989"/>
    <w:rsid w:val="0098049E"/>
    <w:rsid w:val="00981504"/>
    <w:rsid w:val="0098423A"/>
    <w:rsid w:val="0098560E"/>
    <w:rsid w:val="00992568"/>
    <w:rsid w:val="009A17C7"/>
    <w:rsid w:val="009A2DB3"/>
    <w:rsid w:val="009B3EF8"/>
    <w:rsid w:val="009C2BF4"/>
    <w:rsid w:val="009C74AA"/>
    <w:rsid w:val="009C761B"/>
    <w:rsid w:val="009D5194"/>
    <w:rsid w:val="009E616C"/>
    <w:rsid w:val="009F13C1"/>
    <w:rsid w:val="009F612A"/>
    <w:rsid w:val="00A01ADE"/>
    <w:rsid w:val="00A03D63"/>
    <w:rsid w:val="00A04F97"/>
    <w:rsid w:val="00A06BA4"/>
    <w:rsid w:val="00A07929"/>
    <w:rsid w:val="00A10C12"/>
    <w:rsid w:val="00A12C4F"/>
    <w:rsid w:val="00A15448"/>
    <w:rsid w:val="00A17284"/>
    <w:rsid w:val="00A17EA4"/>
    <w:rsid w:val="00A23C81"/>
    <w:rsid w:val="00A2494C"/>
    <w:rsid w:val="00A328D1"/>
    <w:rsid w:val="00A364E8"/>
    <w:rsid w:val="00A403CA"/>
    <w:rsid w:val="00A40F78"/>
    <w:rsid w:val="00A41C96"/>
    <w:rsid w:val="00A430FB"/>
    <w:rsid w:val="00A44192"/>
    <w:rsid w:val="00A50E7C"/>
    <w:rsid w:val="00A51230"/>
    <w:rsid w:val="00A55A2D"/>
    <w:rsid w:val="00A569B9"/>
    <w:rsid w:val="00A60402"/>
    <w:rsid w:val="00A62533"/>
    <w:rsid w:val="00A65F8F"/>
    <w:rsid w:val="00A67459"/>
    <w:rsid w:val="00A70041"/>
    <w:rsid w:val="00A73862"/>
    <w:rsid w:val="00A73C97"/>
    <w:rsid w:val="00A75D35"/>
    <w:rsid w:val="00A77272"/>
    <w:rsid w:val="00A805A1"/>
    <w:rsid w:val="00A80A1F"/>
    <w:rsid w:val="00A813DF"/>
    <w:rsid w:val="00A816C9"/>
    <w:rsid w:val="00A826A7"/>
    <w:rsid w:val="00A861C2"/>
    <w:rsid w:val="00A86F2E"/>
    <w:rsid w:val="00A872D6"/>
    <w:rsid w:val="00A90BBD"/>
    <w:rsid w:val="00A91EE2"/>
    <w:rsid w:val="00A95A3A"/>
    <w:rsid w:val="00AA2C95"/>
    <w:rsid w:val="00AA35F5"/>
    <w:rsid w:val="00AA4EEC"/>
    <w:rsid w:val="00AA5D21"/>
    <w:rsid w:val="00AA73DC"/>
    <w:rsid w:val="00AA7CF3"/>
    <w:rsid w:val="00AB0766"/>
    <w:rsid w:val="00AB1135"/>
    <w:rsid w:val="00AB5013"/>
    <w:rsid w:val="00AB6319"/>
    <w:rsid w:val="00AC0789"/>
    <w:rsid w:val="00AC69B1"/>
    <w:rsid w:val="00AC6EB2"/>
    <w:rsid w:val="00AD16E2"/>
    <w:rsid w:val="00AD6F3E"/>
    <w:rsid w:val="00AD7DE8"/>
    <w:rsid w:val="00AE1E68"/>
    <w:rsid w:val="00AE2C60"/>
    <w:rsid w:val="00AE5EE3"/>
    <w:rsid w:val="00AF17E5"/>
    <w:rsid w:val="00AF1F5E"/>
    <w:rsid w:val="00AF2F37"/>
    <w:rsid w:val="00AF3621"/>
    <w:rsid w:val="00AF3A50"/>
    <w:rsid w:val="00B014D7"/>
    <w:rsid w:val="00B03A72"/>
    <w:rsid w:val="00B0543E"/>
    <w:rsid w:val="00B0734B"/>
    <w:rsid w:val="00B0751F"/>
    <w:rsid w:val="00B123BE"/>
    <w:rsid w:val="00B153E3"/>
    <w:rsid w:val="00B16949"/>
    <w:rsid w:val="00B2165A"/>
    <w:rsid w:val="00B21EA6"/>
    <w:rsid w:val="00B23F9D"/>
    <w:rsid w:val="00B267C8"/>
    <w:rsid w:val="00B27D60"/>
    <w:rsid w:val="00B30E3A"/>
    <w:rsid w:val="00B329DE"/>
    <w:rsid w:val="00B32C95"/>
    <w:rsid w:val="00B34953"/>
    <w:rsid w:val="00B354B0"/>
    <w:rsid w:val="00B35999"/>
    <w:rsid w:val="00B37E42"/>
    <w:rsid w:val="00B400F0"/>
    <w:rsid w:val="00B41CBB"/>
    <w:rsid w:val="00B439B0"/>
    <w:rsid w:val="00B444A4"/>
    <w:rsid w:val="00B626BC"/>
    <w:rsid w:val="00B64C80"/>
    <w:rsid w:val="00B65D82"/>
    <w:rsid w:val="00B7225E"/>
    <w:rsid w:val="00B7467B"/>
    <w:rsid w:val="00B774E2"/>
    <w:rsid w:val="00B80875"/>
    <w:rsid w:val="00B80F3C"/>
    <w:rsid w:val="00B81B75"/>
    <w:rsid w:val="00B83277"/>
    <w:rsid w:val="00B84AC2"/>
    <w:rsid w:val="00B858B8"/>
    <w:rsid w:val="00B87DF7"/>
    <w:rsid w:val="00B91895"/>
    <w:rsid w:val="00B91A04"/>
    <w:rsid w:val="00B91D45"/>
    <w:rsid w:val="00B932FA"/>
    <w:rsid w:val="00B96E57"/>
    <w:rsid w:val="00B97977"/>
    <w:rsid w:val="00BA1409"/>
    <w:rsid w:val="00BA2E72"/>
    <w:rsid w:val="00BA55A5"/>
    <w:rsid w:val="00BA633D"/>
    <w:rsid w:val="00BA6F58"/>
    <w:rsid w:val="00BB0BF4"/>
    <w:rsid w:val="00BB3616"/>
    <w:rsid w:val="00BB514A"/>
    <w:rsid w:val="00BB59C8"/>
    <w:rsid w:val="00BB73FB"/>
    <w:rsid w:val="00BC0AD0"/>
    <w:rsid w:val="00BC1119"/>
    <w:rsid w:val="00BC1470"/>
    <w:rsid w:val="00BC261E"/>
    <w:rsid w:val="00BC38E7"/>
    <w:rsid w:val="00BC590C"/>
    <w:rsid w:val="00BC6319"/>
    <w:rsid w:val="00BD24F5"/>
    <w:rsid w:val="00BD7D74"/>
    <w:rsid w:val="00BE1E95"/>
    <w:rsid w:val="00BF01F1"/>
    <w:rsid w:val="00BF3635"/>
    <w:rsid w:val="00BF523A"/>
    <w:rsid w:val="00BF65B3"/>
    <w:rsid w:val="00BF72F0"/>
    <w:rsid w:val="00BF7313"/>
    <w:rsid w:val="00BF762A"/>
    <w:rsid w:val="00C00D2A"/>
    <w:rsid w:val="00C03B5E"/>
    <w:rsid w:val="00C10FBF"/>
    <w:rsid w:val="00C11753"/>
    <w:rsid w:val="00C17D85"/>
    <w:rsid w:val="00C25E6B"/>
    <w:rsid w:val="00C2672B"/>
    <w:rsid w:val="00C30DFC"/>
    <w:rsid w:val="00C32A0A"/>
    <w:rsid w:val="00C34C31"/>
    <w:rsid w:val="00C46BFB"/>
    <w:rsid w:val="00C50149"/>
    <w:rsid w:val="00C5515D"/>
    <w:rsid w:val="00C55535"/>
    <w:rsid w:val="00C62349"/>
    <w:rsid w:val="00C6238C"/>
    <w:rsid w:val="00C63BEE"/>
    <w:rsid w:val="00C73295"/>
    <w:rsid w:val="00C807B6"/>
    <w:rsid w:val="00C82653"/>
    <w:rsid w:val="00C839B9"/>
    <w:rsid w:val="00C875FB"/>
    <w:rsid w:val="00C90180"/>
    <w:rsid w:val="00CA01DE"/>
    <w:rsid w:val="00CA0AD5"/>
    <w:rsid w:val="00CA30ED"/>
    <w:rsid w:val="00CA5BA6"/>
    <w:rsid w:val="00CA7658"/>
    <w:rsid w:val="00CB3F46"/>
    <w:rsid w:val="00CC3494"/>
    <w:rsid w:val="00CC78C9"/>
    <w:rsid w:val="00CD21B1"/>
    <w:rsid w:val="00CD7196"/>
    <w:rsid w:val="00CE5486"/>
    <w:rsid w:val="00CF57E1"/>
    <w:rsid w:val="00CF636A"/>
    <w:rsid w:val="00D02457"/>
    <w:rsid w:val="00D03B1E"/>
    <w:rsid w:val="00D07245"/>
    <w:rsid w:val="00D1525B"/>
    <w:rsid w:val="00D156DF"/>
    <w:rsid w:val="00D175D0"/>
    <w:rsid w:val="00D17A79"/>
    <w:rsid w:val="00D17ECA"/>
    <w:rsid w:val="00D3370E"/>
    <w:rsid w:val="00D355BE"/>
    <w:rsid w:val="00D444DA"/>
    <w:rsid w:val="00D54702"/>
    <w:rsid w:val="00D554AE"/>
    <w:rsid w:val="00D56489"/>
    <w:rsid w:val="00D61DA4"/>
    <w:rsid w:val="00D64459"/>
    <w:rsid w:val="00D6756D"/>
    <w:rsid w:val="00D705B4"/>
    <w:rsid w:val="00D73C05"/>
    <w:rsid w:val="00D777DE"/>
    <w:rsid w:val="00D8126B"/>
    <w:rsid w:val="00D83A60"/>
    <w:rsid w:val="00D86705"/>
    <w:rsid w:val="00D9049E"/>
    <w:rsid w:val="00D90D52"/>
    <w:rsid w:val="00D921ED"/>
    <w:rsid w:val="00DA05D0"/>
    <w:rsid w:val="00DA20FB"/>
    <w:rsid w:val="00DA23A9"/>
    <w:rsid w:val="00DA4473"/>
    <w:rsid w:val="00DA564C"/>
    <w:rsid w:val="00DA5F1E"/>
    <w:rsid w:val="00DB1310"/>
    <w:rsid w:val="00DB2141"/>
    <w:rsid w:val="00DC4E48"/>
    <w:rsid w:val="00DC6E91"/>
    <w:rsid w:val="00DD17CD"/>
    <w:rsid w:val="00DD49E6"/>
    <w:rsid w:val="00DD4BEA"/>
    <w:rsid w:val="00DD61D4"/>
    <w:rsid w:val="00DD65B6"/>
    <w:rsid w:val="00DD6975"/>
    <w:rsid w:val="00DD7034"/>
    <w:rsid w:val="00DE3A2C"/>
    <w:rsid w:val="00DE4383"/>
    <w:rsid w:val="00DE6A38"/>
    <w:rsid w:val="00DF0000"/>
    <w:rsid w:val="00DF05A3"/>
    <w:rsid w:val="00DF4151"/>
    <w:rsid w:val="00DF4303"/>
    <w:rsid w:val="00DF7A4E"/>
    <w:rsid w:val="00E045BA"/>
    <w:rsid w:val="00E0739F"/>
    <w:rsid w:val="00E07E01"/>
    <w:rsid w:val="00E13210"/>
    <w:rsid w:val="00E133E5"/>
    <w:rsid w:val="00E149B1"/>
    <w:rsid w:val="00E22F4F"/>
    <w:rsid w:val="00E2318D"/>
    <w:rsid w:val="00E24FF4"/>
    <w:rsid w:val="00E302F6"/>
    <w:rsid w:val="00E30EC7"/>
    <w:rsid w:val="00E311EE"/>
    <w:rsid w:val="00E3280E"/>
    <w:rsid w:val="00E32AD1"/>
    <w:rsid w:val="00E35412"/>
    <w:rsid w:val="00E4028A"/>
    <w:rsid w:val="00E43573"/>
    <w:rsid w:val="00E460B1"/>
    <w:rsid w:val="00E5294F"/>
    <w:rsid w:val="00E5381F"/>
    <w:rsid w:val="00E55696"/>
    <w:rsid w:val="00E6129B"/>
    <w:rsid w:val="00E613CD"/>
    <w:rsid w:val="00E61656"/>
    <w:rsid w:val="00E61DF3"/>
    <w:rsid w:val="00E6288C"/>
    <w:rsid w:val="00E648CE"/>
    <w:rsid w:val="00E66360"/>
    <w:rsid w:val="00E667DE"/>
    <w:rsid w:val="00E66A40"/>
    <w:rsid w:val="00E70C0B"/>
    <w:rsid w:val="00E70D96"/>
    <w:rsid w:val="00E720E6"/>
    <w:rsid w:val="00E73D46"/>
    <w:rsid w:val="00E75C3F"/>
    <w:rsid w:val="00E8014A"/>
    <w:rsid w:val="00E82361"/>
    <w:rsid w:val="00E8338C"/>
    <w:rsid w:val="00E83FD1"/>
    <w:rsid w:val="00E84087"/>
    <w:rsid w:val="00E852E5"/>
    <w:rsid w:val="00E870CD"/>
    <w:rsid w:val="00E929B3"/>
    <w:rsid w:val="00EA03E1"/>
    <w:rsid w:val="00EA5869"/>
    <w:rsid w:val="00EA5AB8"/>
    <w:rsid w:val="00EA60F2"/>
    <w:rsid w:val="00EA6713"/>
    <w:rsid w:val="00EA7819"/>
    <w:rsid w:val="00EB11F2"/>
    <w:rsid w:val="00EB130A"/>
    <w:rsid w:val="00EB31F9"/>
    <w:rsid w:val="00EB4873"/>
    <w:rsid w:val="00EB559B"/>
    <w:rsid w:val="00EC5E9E"/>
    <w:rsid w:val="00ED0F0E"/>
    <w:rsid w:val="00ED4932"/>
    <w:rsid w:val="00ED4E9B"/>
    <w:rsid w:val="00ED5B7F"/>
    <w:rsid w:val="00EE15BF"/>
    <w:rsid w:val="00EE1BA1"/>
    <w:rsid w:val="00EE241F"/>
    <w:rsid w:val="00EE2891"/>
    <w:rsid w:val="00EE3A9A"/>
    <w:rsid w:val="00EE5874"/>
    <w:rsid w:val="00EE71A1"/>
    <w:rsid w:val="00EF11E0"/>
    <w:rsid w:val="00F02986"/>
    <w:rsid w:val="00F04117"/>
    <w:rsid w:val="00F049A5"/>
    <w:rsid w:val="00F0606A"/>
    <w:rsid w:val="00F116F2"/>
    <w:rsid w:val="00F11B9B"/>
    <w:rsid w:val="00F12018"/>
    <w:rsid w:val="00F13F64"/>
    <w:rsid w:val="00F15D37"/>
    <w:rsid w:val="00F16A68"/>
    <w:rsid w:val="00F17B7D"/>
    <w:rsid w:val="00F21944"/>
    <w:rsid w:val="00F22488"/>
    <w:rsid w:val="00F24696"/>
    <w:rsid w:val="00F318CE"/>
    <w:rsid w:val="00F332F4"/>
    <w:rsid w:val="00F33A0E"/>
    <w:rsid w:val="00F35A8A"/>
    <w:rsid w:val="00F36721"/>
    <w:rsid w:val="00F37CF4"/>
    <w:rsid w:val="00F43EA4"/>
    <w:rsid w:val="00F454D5"/>
    <w:rsid w:val="00F45986"/>
    <w:rsid w:val="00F4786C"/>
    <w:rsid w:val="00F512FA"/>
    <w:rsid w:val="00F518F2"/>
    <w:rsid w:val="00F528DF"/>
    <w:rsid w:val="00F55C30"/>
    <w:rsid w:val="00F55E4C"/>
    <w:rsid w:val="00F56807"/>
    <w:rsid w:val="00F56AD6"/>
    <w:rsid w:val="00F57E09"/>
    <w:rsid w:val="00F622F5"/>
    <w:rsid w:val="00F66927"/>
    <w:rsid w:val="00F71061"/>
    <w:rsid w:val="00F73FD0"/>
    <w:rsid w:val="00F75159"/>
    <w:rsid w:val="00F752CA"/>
    <w:rsid w:val="00F77B7B"/>
    <w:rsid w:val="00F842FC"/>
    <w:rsid w:val="00F853D0"/>
    <w:rsid w:val="00F85D89"/>
    <w:rsid w:val="00F874B1"/>
    <w:rsid w:val="00F874C6"/>
    <w:rsid w:val="00F90B9F"/>
    <w:rsid w:val="00F90D39"/>
    <w:rsid w:val="00F90D54"/>
    <w:rsid w:val="00F92CF2"/>
    <w:rsid w:val="00F93AB4"/>
    <w:rsid w:val="00F957C7"/>
    <w:rsid w:val="00F96910"/>
    <w:rsid w:val="00FA6BCC"/>
    <w:rsid w:val="00FA707F"/>
    <w:rsid w:val="00FA71A9"/>
    <w:rsid w:val="00FA7249"/>
    <w:rsid w:val="00FC0C16"/>
    <w:rsid w:val="00FC6658"/>
    <w:rsid w:val="00FC74D3"/>
    <w:rsid w:val="00FD1A06"/>
    <w:rsid w:val="00FD57D1"/>
    <w:rsid w:val="00FD6C1B"/>
    <w:rsid w:val="00FE01B5"/>
    <w:rsid w:val="00FE7448"/>
    <w:rsid w:val="00FF064E"/>
    <w:rsid w:val="00FF232D"/>
    <w:rsid w:val="00FF6988"/>
    <w:rsid w:val="01EE9E6B"/>
    <w:rsid w:val="04E93E5A"/>
    <w:rsid w:val="050E5E32"/>
    <w:rsid w:val="066DDCD5"/>
    <w:rsid w:val="07544A6A"/>
    <w:rsid w:val="07571207"/>
    <w:rsid w:val="07CFE63B"/>
    <w:rsid w:val="08158035"/>
    <w:rsid w:val="082CD697"/>
    <w:rsid w:val="08F6B455"/>
    <w:rsid w:val="0975B28B"/>
    <w:rsid w:val="0A9284B6"/>
    <w:rsid w:val="0AB47C65"/>
    <w:rsid w:val="0AB48A32"/>
    <w:rsid w:val="0C0545DF"/>
    <w:rsid w:val="0C19FDF6"/>
    <w:rsid w:val="0C44EBFB"/>
    <w:rsid w:val="0DC38BEE"/>
    <w:rsid w:val="0E414F3A"/>
    <w:rsid w:val="0E7B4D79"/>
    <w:rsid w:val="0E8CEBAD"/>
    <w:rsid w:val="0F65F5D9"/>
    <w:rsid w:val="1045C4B0"/>
    <w:rsid w:val="10D1B6D2"/>
    <w:rsid w:val="1697FD92"/>
    <w:rsid w:val="18E16BA6"/>
    <w:rsid w:val="191D94F7"/>
    <w:rsid w:val="1A565971"/>
    <w:rsid w:val="1F4B0DA1"/>
    <w:rsid w:val="1F6D9293"/>
    <w:rsid w:val="1FB47EC0"/>
    <w:rsid w:val="2025CD1D"/>
    <w:rsid w:val="202DA501"/>
    <w:rsid w:val="20452370"/>
    <w:rsid w:val="212D4C45"/>
    <w:rsid w:val="2155D8F6"/>
    <w:rsid w:val="21B95DE8"/>
    <w:rsid w:val="228AAB2D"/>
    <w:rsid w:val="2290EEC5"/>
    <w:rsid w:val="236545C3"/>
    <w:rsid w:val="248CB93B"/>
    <w:rsid w:val="272B9CED"/>
    <w:rsid w:val="277C017D"/>
    <w:rsid w:val="29E5C21E"/>
    <w:rsid w:val="2A6CD74A"/>
    <w:rsid w:val="2EB724D8"/>
    <w:rsid w:val="2ECA6E18"/>
    <w:rsid w:val="2FB339CC"/>
    <w:rsid w:val="31AFD33E"/>
    <w:rsid w:val="32082A65"/>
    <w:rsid w:val="32A0CEF7"/>
    <w:rsid w:val="33057E1C"/>
    <w:rsid w:val="3379D8CB"/>
    <w:rsid w:val="339AD582"/>
    <w:rsid w:val="343C9F58"/>
    <w:rsid w:val="364CB677"/>
    <w:rsid w:val="3691B7FE"/>
    <w:rsid w:val="37590954"/>
    <w:rsid w:val="377D8D6B"/>
    <w:rsid w:val="3AB8A702"/>
    <w:rsid w:val="3AD9177E"/>
    <w:rsid w:val="3B652921"/>
    <w:rsid w:val="3BA8F120"/>
    <w:rsid w:val="3C58EC14"/>
    <w:rsid w:val="3C74E7DF"/>
    <w:rsid w:val="3DC6B3F3"/>
    <w:rsid w:val="3EE091E2"/>
    <w:rsid w:val="3FAC88A1"/>
    <w:rsid w:val="3FD76FD8"/>
    <w:rsid w:val="408A6B54"/>
    <w:rsid w:val="4093CED0"/>
    <w:rsid w:val="40FA2A1E"/>
    <w:rsid w:val="4134872B"/>
    <w:rsid w:val="446C27ED"/>
    <w:rsid w:val="450C0B67"/>
    <w:rsid w:val="457E5180"/>
    <w:rsid w:val="45D403C2"/>
    <w:rsid w:val="45E6A5FD"/>
    <w:rsid w:val="475C8093"/>
    <w:rsid w:val="476ED848"/>
    <w:rsid w:val="47B50386"/>
    <w:rsid w:val="47BCF10C"/>
    <w:rsid w:val="48BC1A11"/>
    <w:rsid w:val="49D9A09A"/>
    <w:rsid w:val="4A234489"/>
    <w:rsid w:val="4A4496DA"/>
    <w:rsid w:val="4B48F4AF"/>
    <w:rsid w:val="4BDAD6D4"/>
    <w:rsid w:val="4D11415C"/>
    <w:rsid w:val="4D1D38D7"/>
    <w:rsid w:val="4EAD11BD"/>
    <w:rsid w:val="4FE69082"/>
    <w:rsid w:val="5295DC63"/>
    <w:rsid w:val="52CD168B"/>
    <w:rsid w:val="5428A8BE"/>
    <w:rsid w:val="57D973F1"/>
    <w:rsid w:val="588EDD5A"/>
    <w:rsid w:val="5947B6F6"/>
    <w:rsid w:val="596CD6CE"/>
    <w:rsid w:val="59858DE1"/>
    <w:rsid w:val="5B8717B6"/>
    <w:rsid w:val="5B91CAC4"/>
    <w:rsid w:val="5C5ADE39"/>
    <w:rsid w:val="5E2BC4FD"/>
    <w:rsid w:val="5E41025E"/>
    <w:rsid w:val="5FEF6192"/>
    <w:rsid w:val="6139A07E"/>
    <w:rsid w:val="62FA90B7"/>
    <w:rsid w:val="62FF3620"/>
    <w:rsid w:val="6351A1F6"/>
    <w:rsid w:val="66323179"/>
    <w:rsid w:val="6A9230BF"/>
    <w:rsid w:val="6AB51C24"/>
    <w:rsid w:val="6ADD4DD1"/>
    <w:rsid w:val="6AF60A92"/>
    <w:rsid w:val="6F19EC5D"/>
    <w:rsid w:val="6F39746E"/>
    <w:rsid w:val="6FE35E47"/>
    <w:rsid w:val="709C57F3"/>
    <w:rsid w:val="714C8F55"/>
    <w:rsid w:val="717A10E0"/>
    <w:rsid w:val="71D9752E"/>
    <w:rsid w:val="71FF51D1"/>
    <w:rsid w:val="75D2D4FD"/>
    <w:rsid w:val="7617D684"/>
    <w:rsid w:val="769B9BF4"/>
    <w:rsid w:val="76A59CEA"/>
    <w:rsid w:val="7884F42A"/>
    <w:rsid w:val="78BEC03A"/>
    <w:rsid w:val="78C1057F"/>
    <w:rsid w:val="78D8A304"/>
    <w:rsid w:val="78D9F700"/>
    <w:rsid w:val="7957A13A"/>
    <w:rsid w:val="7A648C8A"/>
    <w:rsid w:val="7ADA1A95"/>
    <w:rsid w:val="7AFB5F21"/>
    <w:rsid w:val="7B05553B"/>
    <w:rsid w:val="7BD77C92"/>
    <w:rsid w:val="7BE7F55D"/>
    <w:rsid w:val="7CF275F0"/>
    <w:rsid w:val="7DC4BE85"/>
    <w:rsid w:val="7F959D3F"/>
    <w:rsid w:val="7FB07861"/>
    <w:rsid w:val="7FFDEC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AF54D"/>
  <w15:chartTrackingRefBased/>
  <w15:docId w15:val="{01410065-5E36-4DD0-8805-37CD1A7F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7C"/>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57C"/>
    <w:pPr>
      <w:ind w:left="720"/>
      <w:contextualSpacing/>
    </w:pPr>
  </w:style>
  <w:style w:type="character" w:styleId="Hyperlink">
    <w:name w:val="Hyperlink"/>
    <w:basedOn w:val="DefaultParagraphFont"/>
    <w:uiPriority w:val="99"/>
    <w:unhideWhenUsed/>
    <w:rsid w:val="0062157C"/>
    <w:rPr>
      <w:color w:val="0000FF"/>
      <w:u w:val="single"/>
    </w:rPr>
  </w:style>
  <w:style w:type="character" w:styleId="FootnoteReference">
    <w:name w:val="footnote reference"/>
    <w:basedOn w:val="DefaultParagraphFont"/>
    <w:uiPriority w:val="99"/>
    <w:semiHidden/>
    <w:unhideWhenUsed/>
    <w:rsid w:val="0062157C"/>
    <w:rPr>
      <w:vertAlign w:val="superscript"/>
    </w:rPr>
  </w:style>
  <w:style w:type="character" w:customStyle="1" w:styleId="FootnoteTextChar">
    <w:name w:val="Footnote Text Char"/>
    <w:basedOn w:val="DefaultParagraphFont"/>
    <w:link w:val="FootnoteText"/>
    <w:uiPriority w:val="99"/>
    <w:semiHidden/>
    <w:rsid w:val="0062157C"/>
    <w:rPr>
      <w:sz w:val="20"/>
      <w:szCs w:val="20"/>
    </w:rPr>
  </w:style>
  <w:style w:type="paragraph" w:styleId="FootnoteText">
    <w:name w:val="footnote text"/>
    <w:basedOn w:val="Normal"/>
    <w:link w:val="FootnoteTextChar"/>
    <w:uiPriority w:val="99"/>
    <w:semiHidden/>
    <w:unhideWhenUsed/>
    <w:rsid w:val="0062157C"/>
    <w:pPr>
      <w:spacing w:after="0" w:line="240" w:lineRule="auto"/>
    </w:pPr>
    <w:rPr>
      <w:rFonts w:ascii="Arial" w:eastAsiaTheme="minorHAnsi" w:hAnsi="Arial"/>
      <w:sz w:val="20"/>
      <w:szCs w:val="20"/>
    </w:rPr>
  </w:style>
  <w:style w:type="character" w:customStyle="1" w:styleId="FootnoteTextChar1">
    <w:name w:val="Footnote Text Char1"/>
    <w:basedOn w:val="DefaultParagraphFont"/>
    <w:uiPriority w:val="99"/>
    <w:semiHidden/>
    <w:rsid w:val="0062157C"/>
    <w:rPr>
      <w:rFonts w:asciiTheme="minorHAnsi" w:eastAsiaTheme="minorEastAsia" w:hAnsiTheme="minorHAnsi"/>
      <w:sz w:val="20"/>
      <w:szCs w:val="20"/>
    </w:rPr>
  </w:style>
  <w:style w:type="paragraph" w:styleId="Header">
    <w:name w:val="header"/>
    <w:basedOn w:val="Normal"/>
    <w:link w:val="HeaderChar"/>
    <w:uiPriority w:val="99"/>
    <w:unhideWhenUsed/>
    <w:rsid w:val="00D15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6DF"/>
    <w:rPr>
      <w:rFonts w:asciiTheme="minorHAnsi" w:eastAsiaTheme="minorEastAsia" w:hAnsiTheme="minorHAnsi"/>
      <w:sz w:val="22"/>
    </w:rPr>
  </w:style>
  <w:style w:type="paragraph" w:styleId="Footer">
    <w:name w:val="footer"/>
    <w:basedOn w:val="Normal"/>
    <w:link w:val="FooterChar"/>
    <w:uiPriority w:val="99"/>
    <w:unhideWhenUsed/>
    <w:rsid w:val="00D15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6DF"/>
    <w:rPr>
      <w:rFonts w:asciiTheme="minorHAnsi" w:eastAsiaTheme="minorEastAsia" w:hAnsiTheme="minorHAnsi"/>
      <w:sz w:val="22"/>
    </w:rPr>
  </w:style>
  <w:style w:type="character" w:customStyle="1" w:styleId="UnresolvedMention1">
    <w:name w:val="Unresolved Mention1"/>
    <w:basedOn w:val="DefaultParagraphFont"/>
    <w:uiPriority w:val="99"/>
    <w:semiHidden/>
    <w:unhideWhenUsed/>
    <w:rsid w:val="00F55C30"/>
    <w:rPr>
      <w:color w:val="605E5C"/>
      <w:shd w:val="clear" w:color="auto" w:fill="E1DFDD"/>
    </w:rPr>
  </w:style>
  <w:style w:type="character" w:styleId="FollowedHyperlink">
    <w:name w:val="FollowedHyperlink"/>
    <w:basedOn w:val="DefaultParagraphFont"/>
    <w:uiPriority w:val="99"/>
    <w:semiHidden/>
    <w:unhideWhenUsed/>
    <w:rsid w:val="00EB11F2"/>
    <w:rPr>
      <w:color w:val="954F72" w:themeColor="followedHyperlink"/>
      <w:u w:val="single"/>
    </w:rPr>
  </w:style>
  <w:style w:type="character" w:styleId="CommentReference">
    <w:name w:val="annotation reference"/>
    <w:basedOn w:val="DefaultParagraphFont"/>
    <w:uiPriority w:val="99"/>
    <w:semiHidden/>
    <w:unhideWhenUsed/>
    <w:rsid w:val="00E870CD"/>
    <w:rPr>
      <w:sz w:val="16"/>
      <w:szCs w:val="16"/>
    </w:rPr>
  </w:style>
  <w:style w:type="paragraph" w:styleId="CommentText">
    <w:name w:val="annotation text"/>
    <w:basedOn w:val="Normal"/>
    <w:link w:val="CommentTextChar"/>
    <w:uiPriority w:val="99"/>
    <w:semiHidden/>
    <w:unhideWhenUsed/>
    <w:rsid w:val="00E870CD"/>
    <w:pPr>
      <w:spacing w:line="240" w:lineRule="auto"/>
    </w:pPr>
    <w:rPr>
      <w:sz w:val="20"/>
      <w:szCs w:val="20"/>
    </w:rPr>
  </w:style>
  <w:style w:type="character" w:customStyle="1" w:styleId="CommentTextChar">
    <w:name w:val="Comment Text Char"/>
    <w:basedOn w:val="DefaultParagraphFont"/>
    <w:link w:val="CommentText"/>
    <w:uiPriority w:val="99"/>
    <w:semiHidden/>
    <w:rsid w:val="00E870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E870CD"/>
    <w:rPr>
      <w:b/>
      <w:bCs/>
    </w:rPr>
  </w:style>
  <w:style w:type="character" w:customStyle="1" w:styleId="CommentSubjectChar">
    <w:name w:val="Comment Subject Char"/>
    <w:basedOn w:val="CommentTextChar"/>
    <w:link w:val="CommentSubject"/>
    <w:uiPriority w:val="99"/>
    <w:semiHidden/>
    <w:rsid w:val="00E870CD"/>
    <w:rPr>
      <w:rFonts w:asciiTheme="minorHAnsi" w:eastAsiaTheme="minorEastAsia" w:hAnsiTheme="minorHAnsi"/>
      <w:b/>
      <w:bCs/>
      <w:sz w:val="20"/>
      <w:szCs w:val="20"/>
    </w:rPr>
  </w:style>
  <w:style w:type="paragraph" w:styleId="BalloonText">
    <w:name w:val="Balloon Text"/>
    <w:basedOn w:val="Normal"/>
    <w:link w:val="BalloonTextChar"/>
    <w:uiPriority w:val="99"/>
    <w:semiHidden/>
    <w:unhideWhenUsed/>
    <w:rsid w:val="00BF7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2F0"/>
    <w:rPr>
      <w:rFonts w:ascii="Segoe UI" w:eastAsiaTheme="minorEastAsia" w:hAnsi="Segoe UI" w:cs="Segoe UI"/>
      <w:sz w:val="18"/>
      <w:szCs w:val="18"/>
    </w:rPr>
  </w:style>
  <w:style w:type="paragraph" w:styleId="Revision">
    <w:name w:val="Revision"/>
    <w:hidden/>
    <w:uiPriority w:val="99"/>
    <w:semiHidden/>
    <w:rsid w:val="00B91A04"/>
    <w:pPr>
      <w:spacing w:after="0" w:line="240" w:lineRule="auto"/>
    </w:pPr>
    <w:rPr>
      <w:rFonts w:asciiTheme="minorHAnsi" w:eastAsiaTheme="minorEastAsia" w:hAnsiTheme="minorHAnsi"/>
      <w:sz w:val="22"/>
    </w:rPr>
  </w:style>
  <w:style w:type="character" w:customStyle="1" w:styleId="UnresolvedMention2">
    <w:name w:val="Unresolved Mention2"/>
    <w:basedOn w:val="DefaultParagraphFont"/>
    <w:uiPriority w:val="99"/>
    <w:semiHidden/>
    <w:unhideWhenUsed/>
    <w:rsid w:val="00F528DF"/>
    <w:rPr>
      <w:color w:val="605E5C"/>
      <w:shd w:val="clear" w:color="auto" w:fill="E1DFDD"/>
    </w:rPr>
  </w:style>
  <w:style w:type="character" w:customStyle="1" w:styleId="normaltextrun">
    <w:name w:val="normaltextrun"/>
    <w:basedOn w:val="DefaultParagraphFont"/>
    <w:rsid w:val="001D2BA9"/>
  </w:style>
  <w:style w:type="character" w:customStyle="1" w:styleId="UnresolvedMention3">
    <w:name w:val="Unresolved Mention3"/>
    <w:basedOn w:val="DefaultParagraphFont"/>
    <w:uiPriority w:val="99"/>
    <w:semiHidden/>
    <w:unhideWhenUsed/>
    <w:rsid w:val="001F5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5156">
      <w:bodyDiv w:val="1"/>
      <w:marLeft w:val="0"/>
      <w:marRight w:val="0"/>
      <w:marTop w:val="0"/>
      <w:marBottom w:val="0"/>
      <w:divBdr>
        <w:top w:val="none" w:sz="0" w:space="0" w:color="auto"/>
        <w:left w:val="none" w:sz="0" w:space="0" w:color="auto"/>
        <w:bottom w:val="none" w:sz="0" w:space="0" w:color="auto"/>
        <w:right w:val="none" w:sz="0" w:space="0" w:color="auto"/>
      </w:divBdr>
    </w:div>
    <w:div w:id="831259515">
      <w:bodyDiv w:val="1"/>
      <w:marLeft w:val="0"/>
      <w:marRight w:val="0"/>
      <w:marTop w:val="0"/>
      <w:marBottom w:val="0"/>
      <w:divBdr>
        <w:top w:val="none" w:sz="0" w:space="0" w:color="auto"/>
        <w:left w:val="none" w:sz="0" w:space="0" w:color="auto"/>
        <w:bottom w:val="none" w:sz="0" w:space="0" w:color="auto"/>
        <w:right w:val="none" w:sz="0" w:space="0" w:color="auto"/>
      </w:divBdr>
    </w:div>
    <w:div w:id="947662970">
      <w:bodyDiv w:val="1"/>
      <w:marLeft w:val="0"/>
      <w:marRight w:val="0"/>
      <w:marTop w:val="0"/>
      <w:marBottom w:val="0"/>
      <w:divBdr>
        <w:top w:val="none" w:sz="0" w:space="0" w:color="auto"/>
        <w:left w:val="none" w:sz="0" w:space="0" w:color="auto"/>
        <w:bottom w:val="none" w:sz="0" w:space="0" w:color="auto"/>
        <w:right w:val="none" w:sz="0" w:space="0" w:color="auto"/>
      </w:divBdr>
    </w:div>
    <w:div w:id="1498569357">
      <w:bodyDiv w:val="1"/>
      <w:marLeft w:val="0"/>
      <w:marRight w:val="0"/>
      <w:marTop w:val="0"/>
      <w:marBottom w:val="0"/>
      <w:divBdr>
        <w:top w:val="none" w:sz="0" w:space="0" w:color="auto"/>
        <w:left w:val="none" w:sz="0" w:space="0" w:color="auto"/>
        <w:bottom w:val="none" w:sz="0" w:space="0" w:color="auto"/>
        <w:right w:val="none" w:sz="0" w:space="0" w:color="auto"/>
      </w:divBdr>
    </w:div>
    <w:div w:id="1790122078">
      <w:bodyDiv w:val="1"/>
      <w:marLeft w:val="0"/>
      <w:marRight w:val="0"/>
      <w:marTop w:val="0"/>
      <w:marBottom w:val="0"/>
      <w:divBdr>
        <w:top w:val="none" w:sz="0" w:space="0" w:color="auto"/>
        <w:left w:val="none" w:sz="0" w:space="0" w:color="auto"/>
        <w:bottom w:val="none" w:sz="0" w:space="0" w:color="auto"/>
        <w:right w:val="none" w:sz="0" w:space="0" w:color="auto"/>
      </w:divBdr>
    </w:div>
    <w:div w:id="2107849422">
      <w:bodyDiv w:val="1"/>
      <w:marLeft w:val="0"/>
      <w:marRight w:val="0"/>
      <w:marTop w:val="0"/>
      <w:marBottom w:val="0"/>
      <w:divBdr>
        <w:top w:val="none" w:sz="0" w:space="0" w:color="auto"/>
        <w:left w:val="none" w:sz="0" w:space="0" w:color="auto"/>
        <w:bottom w:val="none" w:sz="0" w:space="0" w:color="auto"/>
        <w:right w:val="none" w:sz="0" w:space="0" w:color="auto"/>
      </w:divBdr>
    </w:div>
    <w:div w:id="21272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_rels/footnotes.xml.rels><?xml version="1.0" encoding="UTF-8" standalone="yes"?>
<Relationships xmlns="http://schemas.openxmlformats.org/package/2006/relationships"><Relationship Id="rId3" Type="http://schemas.openxmlformats.org/officeDocument/2006/relationships/hyperlink" Target="https://www.spirit-statement.org/" TargetMode="External" /><Relationship Id="rId7" Type="http://schemas.openxmlformats.org/officeDocument/2006/relationships/hyperlink" Target="https://www.who.int/news/item/07-05-2021-joint-statement-on-transparency-and-data-integrityinternational-coalition-of-medicines-regulatory-authorities-(icmra)-and-who" TargetMode="External" /><Relationship Id="rId2" Type="http://schemas.openxmlformats.org/officeDocument/2006/relationships/hyperlink" Target="https://theindependentpanel.org/wp-content/uploads/2021/05/COVID-19-Make-it-the-Last-Pandemic_final.pdf" TargetMode="External" /><Relationship Id="rId1" Type="http://schemas.openxmlformats.org/officeDocument/2006/relationships/hyperlink" Target="https://eur03.safelinks.protection.outlook.com/?url=https%3A%2F%2Fwww.who.int%2Fnews%2Fitem%2F18-05-2017-joint-statement-on-registration&amp;data=04%7C01%7Cesther.lawrence%40fco.gov.uk%7C815b135c745141f423c808da17d81bb8%7Cd3a2d0d37cc84f52bbf985bd43d94279%7C0%7C0%7C637848514187637728%7CUnknown%7CTWFpbGZsb3d8eyJWIjoiMC4wLjAwMDAiLCJQIjoiV2luMzIiLCJBTiI6Ik1haWwiLCJXVCI6Mn0%3D%7C3000&amp;sdata=MGTiDmLrI9RDqgA6g6u6yWAIJMFKPsH4an6wl%2FniCeE%3D&amp;reserved=0" TargetMode="External" /><Relationship Id="rId6" Type="http://schemas.openxmlformats.org/officeDocument/2006/relationships/hyperlink" Target="https://www.who.int/news/item/18-05-2017-joint-statement-on-registration" TargetMode="External" /><Relationship Id="rId5" Type="http://schemas.openxmlformats.org/officeDocument/2006/relationships/hyperlink" Target="http://www.consort-statement.org/" TargetMode="External" /><Relationship Id="rId4" Type="http://schemas.openxmlformats.org/officeDocument/2006/relationships/hyperlink" Target="https://cioms.ch/wp-content/uploads/2017/01/WEB-CIOMS-EthicalGuidelin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026442FEEDAE40947898DDA77BC2E0" ma:contentTypeVersion="12" ma:contentTypeDescription="Create a new document." ma:contentTypeScope="" ma:versionID="70a2248bab7588dccff4bde8b02f8f5e">
  <xsd:schema xmlns:xsd="http://www.w3.org/2001/XMLSchema" xmlns:xs="http://www.w3.org/2001/XMLSchema" xmlns:p="http://schemas.microsoft.com/office/2006/metadata/properties" xmlns:ns3="21f25c08-9570-4835-8810-bcea3478bd3b" xmlns:ns4="90da3d5d-0ce0-4c06-9c2d-9cdafe234da1" targetNamespace="http://schemas.microsoft.com/office/2006/metadata/properties" ma:root="true" ma:fieldsID="00566fdf6eaf088c123dcbbd15d6416a" ns3:_="" ns4:_="">
    <xsd:import namespace="21f25c08-9570-4835-8810-bcea3478bd3b"/>
    <xsd:import namespace="90da3d5d-0ce0-4c06-9c2d-9cdafe234d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25c08-9570-4835-8810-bcea3478b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da3d5d-0ce0-4c06-9c2d-9cdafe234d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0da3d5d-0ce0-4c06-9c2d-9cdafe234da1">
      <UserInfo>
        <DisplayName>Smith, Natalie</DisplayName>
        <AccountId>24</AccountId>
        <AccountType/>
      </UserInfo>
      <UserInfo>
        <DisplayName>De Silva, Mary</DisplayName>
        <AccountId>14</AccountId>
        <AccountType/>
      </UserInfo>
      <UserInfo>
        <DisplayName>Silk, Christie</DisplayName>
        <AccountId>15</AccountId>
        <AccountType/>
      </UserInfo>
      <UserInfo>
        <DisplayName>Mathewson, Scott</DisplayName>
        <AccountId>35</AccountId>
        <AccountType/>
      </UserInfo>
    </SharedWithUsers>
  </documentManagement>
</p:properties>
</file>

<file path=customXml/itemProps1.xml><?xml version="1.0" encoding="utf-8"?>
<ds:datastoreItem xmlns:ds="http://schemas.openxmlformats.org/officeDocument/2006/customXml" ds:itemID="{808BCAA0-673A-4FE2-B23E-54A6469C6B9D}">
  <ds:schemaRefs>
    <ds:schemaRef ds:uri="http://schemas.microsoft.com/sharepoint/v3/contenttype/forms"/>
  </ds:schemaRefs>
</ds:datastoreItem>
</file>

<file path=customXml/itemProps2.xml><?xml version="1.0" encoding="utf-8"?>
<ds:datastoreItem xmlns:ds="http://schemas.openxmlformats.org/officeDocument/2006/customXml" ds:itemID="{3E18B39F-17EA-4941-BF52-DB79C20F8CA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A77E98B7-E448-4F0A-81BC-500E070FA187}">
  <ds:schemaRefs>
    <ds:schemaRef ds:uri="http://schemas.microsoft.com/office/2006/metadata/contentType"/>
    <ds:schemaRef ds:uri="http://schemas.microsoft.com/office/2006/metadata/properties/metaAttributes"/>
    <ds:schemaRef ds:uri="http://www.w3.org/2000/xmlns/"/>
    <ds:schemaRef ds:uri="http://www.w3.org/2001/XMLSchema"/>
    <ds:schemaRef ds:uri="21f25c08-9570-4835-8810-bcea3478bd3b"/>
    <ds:schemaRef ds:uri="90da3d5d-0ce0-4c06-9c2d-9cdafe234da1"/>
  </ds:schemaRefs>
</ds:datastoreItem>
</file>

<file path=customXml/itemProps4.xml><?xml version="1.0" encoding="utf-8"?>
<ds:datastoreItem xmlns:ds="http://schemas.openxmlformats.org/officeDocument/2006/customXml" ds:itemID="{C37FA2CD-656F-40BA-8238-D1CD33F226E4}">
  <ds:schemaRefs>
    <ds:schemaRef ds:uri="http://schemas.microsoft.com/office/2006/metadata/properties"/>
    <ds:schemaRef ds:uri="http://www.w3.org/2000/xmlns/"/>
    <ds:schemaRef ds:uri="90da3d5d-0ce0-4c06-9c2d-9cdafe234d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Lawrence * (Sensitive)</dc:creator>
  <cp:keywords/>
  <dc:description/>
  <cp:lastModifiedBy>Guest User</cp:lastModifiedBy>
  <cp:revision>2</cp:revision>
  <dcterms:created xsi:type="dcterms:W3CDTF">2022-05-22T11:10:00Z</dcterms:created>
  <dcterms:modified xsi:type="dcterms:W3CDTF">2022-05-22T11:10:00Z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0x010100C7026442FEEDAE40947898DDA77BC2E0</vt:lpwstr>
  </property>
</Properties>
</file>