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14" w:rsidRDefault="00365014"/>
    <w:p w:rsidR="00365014" w:rsidRDefault="00365014">
      <w:pPr>
        <w:pStyle w:val="TEALetterHead"/>
        <w:framePr w:hSpace="187" w:wrap="auto" w:vAnchor="page" w:hAnchor="page" w:x="720" w:y="721"/>
      </w:pPr>
    </w:p>
    <w:p w:rsidR="00233FB0" w:rsidRPr="00233FB0" w:rsidRDefault="00233FB0" w:rsidP="00233FB0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24"/>
          <w:szCs w:val="3276"/>
        </w:rPr>
      </w:pPr>
      <w:r w:rsidRPr="00233FB0">
        <w:rPr>
          <w:rFonts w:ascii="Arial" w:hAnsi="Arial" w:cs="Arial"/>
          <w:b/>
          <w:sz w:val="24"/>
          <w:szCs w:val="3276"/>
        </w:rPr>
        <w:t>INFORMATION PAPER</w:t>
      </w:r>
    </w:p>
    <w:p w:rsidR="00233FB0" w:rsidRPr="00233FB0" w:rsidRDefault="00233FB0" w:rsidP="00233FB0">
      <w:pPr>
        <w:rPr>
          <w:rFonts w:ascii="Arial" w:hAnsi="Arial" w:cs="Arial"/>
          <w:b/>
          <w:sz w:val="24"/>
          <w:szCs w:val="3276"/>
        </w:rPr>
      </w:pPr>
    </w:p>
    <w:p w:rsidR="00233FB0" w:rsidRPr="00233FB0" w:rsidRDefault="00233FB0" w:rsidP="00233FB0">
      <w:pPr>
        <w:rPr>
          <w:rFonts w:ascii="Arial" w:hAnsi="Arial" w:cs="Arial"/>
          <w:b/>
          <w:sz w:val="24"/>
          <w:szCs w:val="3276"/>
        </w:rPr>
      </w:pPr>
    </w:p>
    <w:p w:rsidR="00233FB0" w:rsidRPr="00233FB0" w:rsidRDefault="00233FB0" w:rsidP="00AF0C8A">
      <w:pPr>
        <w:rPr>
          <w:rFonts w:ascii="Arial" w:hAnsi="Arial" w:cs="Arial"/>
          <w:sz w:val="24"/>
          <w:szCs w:val="3276"/>
        </w:rPr>
      </w:pPr>
      <w:r w:rsidRPr="00233FB0">
        <w:rPr>
          <w:rFonts w:ascii="Arial" w:hAnsi="Arial" w:cs="Arial"/>
          <w:sz w:val="24"/>
          <w:szCs w:val="3276"/>
        </w:rPr>
        <w:t>MCMR-JA</w:t>
      </w:r>
      <w:r w:rsidR="00AF0C8A">
        <w:rPr>
          <w:rFonts w:ascii="Arial" w:hAnsi="Arial" w:cs="Arial"/>
          <w:sz w:val="24"/>
          <w:szCs w:val="3276"/>
        </w:rPr>
        <w:tab/>
      </w:r>
      <w:r w:rsidRPr="00233FB0">
        <w:rPr>
          <w:rFonts w:ascii="Arial" w:hAnsi="Arial" w:cs="Arial"/>
          <w:sz w:val="24"/>
          <w:szCs w:val="3276"/>
        </w:rPr>
        <w:t xml:space="preserve"> </w:t>
      </w:r>
      <w:r w:rsidRPr="00233FB0">
        <w:rPr>
          <w:rFonts w:ascii="Arial" w:hAnsi="Arial" w:cs="Arial"/>
          <w:sz w:val="24"/>
          <w:szCs w:val="3276"/>
        </w:rPr>
        <w:tab/>
      </w:r>
      <w:r w:rsidRPr="00233FB0">
        <w:rPr>
          <w:rFonts w:ascii="Arial" w:hAnsi="Arial" w:cs="Arial"/>
          <w:sz w:val="24"/>
          <w:szCs w:val="3276"/>
        </w:rPr>
        <w:tab/>
      </w:r>
      <w:r w:rsidRPr="00233FB0">
        <w:rPr>
          <w:rFonts w:ascii="Arial" w:hAnsi="Arial" w:cs="Arial"/>
          <w:sz w:val="24"/>
          <w:szCs w:val="3276"/>
        </w:rPr>
        <w:tab/>
      </w:r>
      <w:r w:rsidRPr="00233FB0">
        <w:rPr>
          <w:rFonts w:ascii="Arial" w:hAnsi="Arial" w:cs="Arial"/>
          <w:sz w:val="24"/>
          <w:szCs w:val="3276"/>
        </w:rPr>
        <w:tab/>
      </w:r>
      <w:r w:rsidRPr="00233FB0">
        <w:rPr>
          <w:rFonts w:ascii="Arial" w:hAnsi="Arial" w:cs="Arial"/>
          <w:sz w:val="24"/>
          <w:szCs w:val="3276"/>
        </w:rPr>
        <w:tab/>
      </w:r>
      <w:r w:rsidRPr="00233FB0">
        <w:rPr>
          <w:rFonts w:ascii="Arial" w:hAnsi="Arial" w:cs="Arial"/>
          <w:sz w:val="24"/>
          <w:szCs w:val="3276"/>
        </w:rPr>
        <w:tab/>
      </w:r>
      <w:r w:rsidRPr="00233FB0">
        <w:rPr>
          <w:rFonts w:ascii="Arial" w:hAnsi="Arial" w:cs="Arial"/>
          <w:sz w:val="24"/>
          <w:szCs w:val="3276"/>
        </w:rPr>
        <w:tab/>
      </w:r>
      <w:r w:rsidRPr="00233FB0">
        <w:rPr>
          <w:rFonts w:ascii="Arial" w:hAnsi="Arial" w:cs="Arial"/>
          <w:sz w:val="24"/>
          <w:szCs w:val="3276"/>
        </w:rPr>
        <w:tab/>
        <w:t xml:space="preserve">          </w:t>
      </w:r>
      <w:r w:rsidRPr="00233FB0">
        <w:rPr>
          <w:rFonts w:ascii="Arial" w:hAnsi="Arial" w:cs="Arial"/>
          <w:sz w:val="24"/>
          <w:szCs w:val="3276"/>
        </w:rPr>
        <w:tab/>
      </w:r>
      <w:r w:rsidRPr="00233FB0">
        <w:rPr>
          <w:rFonts w:ascii="Arial" w:hAnsi="Arial" w:cs="Arial"/>
          <w:sz w:val="24"/>
          <w:szCs w:val="3276"/>
        </w:rPr>
        <w:fldChar w:fldCharType="begin"/>
      </w:r>
      <w:r w:rsidRPr="00233FB0">
        <w:rPr>
          <w:rFonts w:ascii="Arial" w:hAnsi="Arial" w:cs="Arial"/>
          <w:sz w:val="24"/>
          <w:szCs w:val="3276"/>
        </w:rPr>
        <w:instrText xml:space="preserve"> DATE \@ "d MMMM yyyy" </w:instrText>
      </w:r>
      <w:r w:rsidRPr="00233FB0">
        <w:rPr>
          <w:rFonts w:ascii="Arial" w:hAnsi="Arial" w:cs="Arial"/>
          <w:sz w:val="24"/>
          <w:szCs w:val="3276"/>
        </w:rPr>
        <w:fldChar w:fldCharType="separate"/>
      </w:r>
      <w:r w:rsidR="000E785F">
        <w:rPr>
          <w:rFonts w:ascii="Arial" w:hAnsi="Arial" w:cs="Arial"/>
          <w:noProof/>
          <w:sz w:val="24"/>
          <w:szCs w:val="3276"/>
        </w:rPr>
        <w:t>21 July 2016</w:t>
      </w:r>
      <w:r w:rsidRPr="00233FB0">
        <w:rPr>
          <w:rFonts w:ascii="Arial" w:hAnsi="Arial" w:cs="Arial"/>
          <w:noProof/>
          <w:sz w:val="24"/>
          <w:szCs w:val="3276"/>
        </w:rPr>
        <w:fldChar w:fldCharType="end"/>
      </w:r>
    </w:p>
    <w:p w:rsidR="00233FB0" w:rsidRPr="00233FB0" w:rsidRDefault="00233FB0" w:rsidP="00233FB0">
      <w:pPr>
        <w:jc w:val="right"/>
        <w:rPr>
          <w:rFonts w:ascii="Arial" w:hAnsi="Arial" w:cs="Arial"/>
          <w:sz w:val="24"/>
          <w:szCs w:val="3276"/>
        </w:rPr>
      </w:pPr>
    </w:p>
    <w:p w:rsidR="00672F01" w:rsidRPr="008C6E39" w:rsidRDefault="00233FB0" w:rsidP="00233FB0">
      <w:pPr>
        <w:rPr>
          <w:rFonts w:ascii="Arial" w:hAnsi="Arial" w:cs="Arial"/>
          <w:caps/>
          <w:sz w:val="24"/>
          <w:szCs w:val="24"/>
        </w:rPr>
      </w:pPr>
      <w:r w:rsidRPr="008C6E39">
        <w:rPr>
          <w:rFonts w:ascii="Arial" w:hAnsi="Arial" w:cs="Arial"/>
          <w:caps/>
          <w:sz w:val="24"/>
          <w:szCs w:val="24"/>
        </w:rPr>
        <w:t xml:space="preserve">SUBJECT:  </w:t>
      </w:r>
      <w:r w:rsidR="003F7783">
        <w:rPr>
          <w:rFonts w:ascii="Arial" w:hAnsi="Arial" w:cs="Arial"/>
          <w:caps/>
          <w:sz w:val="24"/>
          <w:szCs w:val="24"/>
        </w:rPr>
        <w:t>exercise of Government march-in rights</w:t>
      </w:r>
      <w:r w:rsidR="00F832FB">
        <w:rPr>
          <w:rFonts w:ascii="Arial" w:hAnsi="Arial" w:cs="Arial"/>
          <w:caps/>
          <w:sz w:val="24"/>
          <w:szCs w:val="24"/>
        </w:rPr>
        <w:t xml:space="preserve"> RE: XTANDI®</w:t>
      </w:r>
    </w:p>
    <w:p w:rsidR="00672F01" w:rsidRPr="00233FB0" w:rsidRDefault="00672F01" w:rsidP="00672F01">
      <w:pPr>
        <w:rPr>
          <w:rFonts w:ascii="Arial" w:hAnsi="Arial" w:cs="Arial"/>
          <w:sz w:val="24"/>
          <w:szCs w:val="24"/>
        </w:rPr>
      </w:pPr>
    </w:p>
    <w:p w:rsidR="0042732F" w:rsidRDefault="008C6E39" w:rsidP="0042732F">
      <w:pPr>
        <w:pStyle w:val="ListParagraph"/>
        <w:numPr>
          <w:ilvl w:val="0"/>
          <w:numId w:val="1"/>
        </w:numPr>
        <w:ind w:left="0" w:firstLine="360"/>
        <w:rPr>
          <w:rFonts w:ascii="Arial" w:hAnsi="Arial" w:cs="Arial"/>
          <w:sz w:val="24"/>
          <w:szCs w:val="24"/>
        </w:rPr>
      </w:pPr>
      <w:r w:rsidRPr="009E71F1">
        <w:rPr>
          <w:rFonts w:ascii="Arial" w:hAnsi="Arial" w:cs="Arial"/>
          <w:sz w:val="24"/>
          <w:szCs w:val="24"/>
        </w:rPr>
        <w:t>Purpose:</w:t>
      </w:r>
      <w:r w:rsidR="00AF0C8A" w:rsidRPr="009E71F1">
        <w:rPr>
          <w:rFonts w:ascii="Arial" w:hAnsi="Arial" w:cs="Arial"/>
          <w:sz w:val="24"/>
          <w:szCs w:val="24"/>
        </w:rPr>
        <w:t xml:space="preserve">  </w:t>
      </w:r>
      <w:r w:rsidR="009E71F1" w:rsidRPr="009E71F1">
        <w:rPr>
          <w:rFonts w:ascii="Arial" w:hAnsi="Arial" w:cs="Arial"/>
          <w:sz w:val="24"/>
          <w:szCs w:val="24"/>
        </w:rPr>
        <w:t xml:space="preserve">This information paper is provided in support of the response to </w:t>
      </w:r>
      <w:r w:rsidR="000F2F0E">
        <w:rPr>
          <w:rFonts w:ascii="Arial" w:hAnsi="Arial" w:cs="Arial"/>
          <w:sz w:val="24"/>
          <w:szCs w:val="24"/>
        </w:rPr>
        <w:t>USAMRMC T</w:t>
      </w:r>
      <w:r w:rsidR="009E71F1" w:rsidRPr="009E71F1">
        <w:rPr>
          <w:rFonts w:ascii="Arial" w:hAnsi="Arial" w:cs="Arial"/>
          <w:sz w:val="24"/>
          <w:szCs w:val="24"/>
        </w:rPr>
        <w:t xml:space="preserve">asker </w:t>
      </w:r>
      <w:r w:rsidR="000F2F0E">
        <w:rPr>
          <w:rFonts w:ascii="Arial" w:hAnsi="Arial" w:cs="Arial"/>
          <w:sz w:val="24"/>
          <w:szCs w:val="24"/>
        </w:rPr>
        <w:t>1602042</w:t>
      </w:r>
      <w:r w:rsidR="009E71F1" w:rsidRPr="009E71F1">
        <w:rPr>
          <w:rFonts w:ascii="Arial" w:hAnsi="Arial" w:cs="Arial"/>
          <w:sz w:val="24"/>
          <w:szCs w:val="24"/>
        </w:rPr>
        <w:t xml:space="preserve"> </w:t>
      </w:r>
      <w:r w:rsidR="0016605E">
        <w:rPr>
          <w:rFonts w:ascii="Arial" w:hAnsi="Arial" w:cs="Arial"/>
          <w:sz w:val="24"/>
          <w:szCs w:val="24"/>
        </w:rPr>
        <w:t>concerning</w:t>
      </w:r>
      <w:r w:rsidR="009E71F1" w:rsidRPr="009E71F1">
        <w:rPr>
          <w:rFonts w:ascii="Arial" w:hAnsi="Arial" w:cs="Arial"/>
          <w:sz w:val="24"/>
          <w:szCs w:val="24"/>
        </w:rPr>
        <w:t xml:space="preserve"> a request to </w:t>
      </w:r>
      <w:r w:rsidR="006519DF" w:rsidRPr="009E71F1">
        <w:rPr>
          <w:rFonts w:ascii="Arial" w:hAnsi="Arial" w:cs="Arial"/>
          <w:sz w:val="24"/>
          <w:szCs w:val="24"/>
        </w:rPr>
        <w:t xml:space="preserve">the </w:t>
      </w:r>
      <w:r w:rsidR="006519DF" w:rsidRPr="008B1C88">
        <w:rPr>
          <w:rFonts w:ascii="Arial" w:hAnsi="Arial" w:cs="Arial"/>
          <w:sz w:val="24"/>
          <w:szCs w:val="24"/>
        </w:rPr>
        <w:t>Secretary of Health and Human Services (DHHS)</w:t>
      </w:r>
      <w:r w:rsidR="006519DF">
        <w:rPr>
          <w:rFonts w:ascii="Arial" w:hAnsi="Arial" w:cs="Arial"/>
          <w:sz w:val="24"/>
          <w:szCs w:val="24"/>
        </w:rPr>
        <w:t xml:space="preserve"> and</w:t>
      </w:r>
      <w:bookmarkStart w:id="0" w:name="_GoBack"/>
      <w:bookmarkEnd w:id="0"/>
      <w:r w:rsidR="006519DF">
        <w:rPr>
          <w:rFonts w:ascii="Arial" w:hAnsi="Arial" w:cs="Arial"/>
          <w:sz w:val="24"/>
          <w:szCs w:val="24"/>
        </w:rPr>
        <w:t xml:space="preserve"> the </w:t>
      </w:r>
      <w:r w:rsidR="009E71F1" w:rsidRPr="009E71F1">
        <w:rPr>
          <w:rFonts w:ascii="Arial" w:hAnsi="Arial" w:cs="Arial"/>
          <w:sz w:val="24"/>
          <w:szCs w:val="24"/>
        </w:rPr>
        <w:t>Secretary of Defense</w:t>
      </w:r>
      <w:r w:rsidR="00C7406A">
        <w:rPr>
          <w:rFonts w:ascii="Arial" w:hAnsi="Arial" w:cs="Arial"/>
          <w:sz w:val="24"/>
          <w:szCs w:val="24"/>
        </w:rPr>
        <w:t xml:space="preserve"> (DoD)</w:t>
      </w:r>
      <w:r w:rsidR="00DA5FA8">
        <w:rPr>
          <w:rFonts w:ascii="Arial" w:hAnsi="Arial" w:cs="Arial"/>
          <w:sz w:val="24"/>
          <w:szCs w:val="24"/>
        </w:rPr>
        <w:t xml:space="preserve"> </w:t>
      </w:r>
      <w:r w:rsidR="009E71F1" w:rsidRPr="009E71F1">
        <w:rPr>
          <w:rFonts w:ascii="Arial" w:hAnsi="Arial" w:cs="Arial"/>
          <w:sz w:val="24"/>
          <w:szCs w:val="24"/>
        </w:rPr>
        <w:t>to exercise the Federal government’s march-in rights</w:t>
      </w:r>
      <w:r w:rsidR="009E71F1">
        <w:rPr>
          <w:rFonts w:ascii="Arial" w:hAnsi="Arial" w:cs="Arial"/>
          <w:sz w:val="24"/>
          <w:szCs w:val="24"/>
        </w:rPr>
        <w:t xml:space="preserve"> with respect to a cancer treatment developed with funding </w:t>
      </w:r>
      <w:r w:rsidR="0025106C">
        <w:rPr>
          <w:rFonts w:ascii="Arial" w:hAnsi="Arial" w:cs="Arial"/>
          <w:sz w:val="24"/>
          <w:szCs w:val="24"/>
        </w:rPr>
        <w:t>from</w:t>
      </w:r>
      <w:r w:rsidR="009E71F1">
        <w:rPr>
          <w:rFonts w:ascii="Arial" w:hAnsi="Arial" w:cs="Arial"/>
          <w:sz w:val="24"/>
          <w:szCs w:val="24"/>
        </w:rPr>
        <w:t xml:space="preserve"> the </w:t>
      </w:r>
      <w:r w:rsidR="008B1C88">
        <w:rPr>
          <w:rFonts w:ascii="Arial" w:hAnsi="Arial" w:cs="Arial"/>
          <w:sz w:val="24"/>
          <w:szCs w:val="24"/>
        </w:rPr>
        <w:t xml:space="preserve">National Institutes of Health (NIH) and the </w:t>
      </w:r>
      <w:r w:rsidR="009E71F1">
        <w:rPr>
          <w:rFonts w:ascii="Arial" w:hAnsi="Arial" w:cs="Arial"/>
          <w:sz w:val="24"/>
          <w:szCs w:val="24"/>
        </w:rPr>
        <w:t xml:space="preserve">Congressionally Directed Medical Research Program (CDMRP), a subordinate </w:t>
      </w:r>
      <w:r w:rsidR="009466CE">
        <w:rPr>
          <w:rFonts w:ascii="Arial" w:hAnsi="Arial" w:cs="Arial"/>
          <w:sz w:val="24"/>
          <w:szCs w:val="24"/>
        </w:rPr>
        <w:t>organization</w:t>
      </w:r>
      <w:r w:rsidR="009E71F1">
        <w:rPr>
          <w:rFonts w:ascii="Arial" w:hAnsi="Arial" w:cs="Arial"/>
          <w:sz w:val="24"/>
          <w:szCs w:val="24"/>
        </w:rPr>
        <w:t xml:space="preserve"> of the U.S. Army Medical Research and Materiel Command</w:t>
      </w:r>
      <w:r w:rsidR="009E71F1" w:rsidRPr="009E71F1">
        <w:rPr>
          <w:rFonts w:ascii="Arial" w:hAnsi="Arial" w:cs="Arial"/>
          <w:sz w:val="24"/>
          <w:szCs w:val="24"/>
        </w:rPr>
        <w:t xml:space="preserve">.  </w:t>
      </w:r>
      <w:r w:rsidR="009C08D5">
        <w:rPr>
          <w:rFonts w:ascii="Arial" w:hAnsi="Arial" w:cs="Arial"/>
          <w:sz w:val="24"/>
          <w:szCs w:val="24"/>
        </w:rPr>
        <w:t>To our knowledge, t</w:t>
      </w:r>
      <w:r w:rsidR="009466CE" w:rsidRPr="009466CE">
        <w:rPr>
          <w:rFonts w:ascii="Arial" w:hAnsi="Arial" w:cs="Arial"/>
          <w:sz w:val="24"/>
          <w:szCs w:val="24"/>
        </w:rPr>
        <w:t xml:space="preserve">his request </w:t>
      </w:r>
      <w:r w:rsidR="009466CE">
        <w:rPr>
          <w:rFonts w:ascii="Arial" w:hAnsi="Arial" w:cs="Arial"/>
          <w:sz w:val="24"/>
          <w:szCs w:val="24"/>
        </w:rPr>
        <w:t xml:space="preserve">to exercise march-in rights </w:t>
      </w:r>
      <w:r w:rsidR="00C20097">
        <w:rPr>
          <w:rFonts w:ascii="Arial" w:hAnsi="Arial" w:cs="Arial"/>
          <w:sz w:val="24"/>
          <w:szCs w:val="24"/>
        </w:rPr>
        <w:t>is the first</w:t>
      </w:r>
      <w:r w:rsidR="009466CE" w:rsidRPr="009466CE">
        <w:rPr>
          <w:rFonts w:ascii="Arial" w:hAnsi="Arial" w:cs="Arial"/>
          <w:sz w:val="24"/>
          <w:szCs w:val="24"/>
        </w:rPr>
        <w:t xml:space="preserve"> </w:t>
      </w:r>
      <w:r w:rsidR="00B3765F">
        <w:rPr>
          <w:rFonts w:ascii="Arial" w:hAnsi="Arial" w:cs="Arial"/>
          <w:sz w:val="24"/>
          <w:szCs w:val="24"/>
        </w:rPr>
        <w:t xml:space="preserve">ever </w:t>
      </w:r>
      <w:r w:rsidR="009466CE" w:rsidRPr="009466CE">
        <w:rPr>
          <w:rFonts w:ascii="Arial" w:hAnsi="Arial" w:cs="Arial"/>
          <w:sz w:val="24"/>
          <w:szCs w:val="24"/>
        </w:rPr>
        <w:t>directed to an agency of the DoD.</w:t>
      </w:r>
    </w:p>
    <w:p w:rsidR="0042732F" w:rsidRDefault="0042732F" w:rsidP="0042732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BB6DE3" w:rsidRPr="0042732F" w:rsidRDefault="00233FB0" w:rsidP="0042732F">
      <w:pPr>
        <w:pStyle w:val="ListParagraph"/>
        <w:numPr>
          <w:ilvl w:val="0"/>
          <w:numId w:val="1"/>
        </w:numPr>
        <w:ind w:left="0" w:firstLine="360"/>
        <w:rPr>
          <w:rFonts w:ascii="Arial" w:hAnsi="Arial" w:cs="Arial"/>
          <w:sz w:val="24"/>
          <w:szCs w:val="24"/>
        </w:rPr>
      </w:pPr>
      <w:r w:rsidRPr="0042732F">
        <w:rPr>
          <w:rFonts w:ascii="Arial" w:hAnsi="Arial" w:cs="Arial"/>
          <w:sz w:val="24"/>
          <w:szCs w:val="24"/>
        </w:rPr>
        <w:t>BLUF:</w:t>
      </w:r>
      <w:r w:rsidR="00BB6DE3" w:rsidRPr="0042732F">
        <w:rPr>
          <w:rFonts w:ascii="Arial" w:hAnsi="Arial" w:cs="Arial"/>
          <w:sz w:val="24"/>
          <w:szCs w:val="24"/>
        </w:rPr>
        <w:t xml:space="preserve">  We recommend that DoD decline to exercise its march-in rights.  This action would </w:t>
      </w:r>
      <w:r w:rsidR="00B3765F" w:rsidRPr="0042732F">
        <w:rPr>
          <w:rFonts w:ascii="Arial" w:hAnsi="Arial" w:cs="Arial"/>
          <w:sz w:val="24"/>
          <w:szCs w:val="24"/>
        </w:rPr>
        <w:t>accord</w:t>
      </w:r>
      <w:r w:rsidR="00BB6DE3" w:rsidRPr="0042732F">
        <w:rPr>
          <w:rFonts w:ascii="Arial" w:hAnsi="Arial" w:cs="Arial"/>
          <w:sz w:val="24"/>
          <w:szCs w:val="24"/>
        </w:rPr>
        <w:t xml:space="preserve"> with the denial of the request to exercise march-in rights already communicated by DHHS and NIH to the Requestor via letter on April 13, 2016.</w:t>
      </w:r>
    </w:p>
    <w:p w:rsidR="00BB6DE3" w:rsidRDefault="00BB6DE3" w:rsidP="00CB2D9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B61CB" w:rsidRPr="00CB2D9F" w:rsidRDefault="009466CE" w:rsidP="006226E0">
      <w:pPr>
        <w:pStyle w:val="ListParagraph"/>
        <w:numPr>
          <w:ilvl w:val="0"/>
          <w:numId w:val="4"/>
        </w:numPr>
        <w:ind w:firstLine="1080"/>
        <w:rPr>
          <w:rFonts w:ascii="Arial" w:hAnsi="Arial" w:cs="Arial"/>
          <w:sz w:val="24"/>
          <w:szCs w:val="24"/>
        </w:rPr>
      </w:pPr>
      <w:r w:rsidRPr="00CB2D9F">
        <w:rPr>
          <w:rFonts w:ascii="Arial" w:hAnsi="Arial" w:cs="Arial"/>
          <w:sz w:val="24"/>
          <w:szCs w:val="24"/>
        </w:rPr>
        <w:t>The Federal government has never exercised the march-in rights available to it.  There have, however, been several petitions directed to the NIH requesting such action.  Several of the NIH requests have similar fact patterns</w:t>
      </w:r>
      <w:r w:rsidR="00B6039B">
        <w:rPr>
          <w:rFonts w:ascii="Arial" w:hAnsi="Arial" w:cs="Arial"/>
          <w:sz w:val="24"/>
          <w:szCs w:val="24"/>
        </w:rPr>
        <w:t xml:space="preserve"> to</w:t>
      </w:r>
      <w:r w:rsidRPr="00CB2D9F">
        <w:rPr>
          <w:rFonts w:ascii="Arial" w:hAnsi="Arial" w:cs="Arial"/>
          <w:sz w:val="24"/>
          <w:szCs w:val="24"/>
        </w:rPr>
        <w:t xml:space="preserve"> and make similar arguments as those currently presented to the DoD.  All such requests have been denied by DHHS.  </w:t>
      </w:r>
    </w:p>
    <w:p w:rsidR="000F2F0E" w:rsidRPr="000F2F0E" w:rsidRDefault="000F2F0E" w:rsidP="006226E0">
      <w:pPr>
        <w:pStyle w:val="ListParagraph"/>
        <w:ind w:left="0" w:firstLine="1080"/>
        <w:rPr>
          <w:rFonts w:ascii="Arial" w:hAnsi="Arial" w:cs="Arial"/>
          <w:sz w:val="24"/>
          <w:szCs w:val="24"/>
        </w:rPr>
      </w:pPr>
    </w:p>
    <w:p w:rsidR="000F2F0E" w:rsidRPr="00CB2D9F" w:rsidRDefault="000F2F0E" w:rsidP="006226E0">
      <w:pPr>
        <w:pStyle w:val="ListParagraph"/>
        <w:numPr>
          <w:ilvl w:val="0"/>
          <w:numId w:val="4"/>
        </w:numPr>
        <w:ind w:firstLine="1080"/>
        <w:rPr>
          <w:rFonts w:ascii="Arial" w:hAnsi="Arial" w:cs="Arial"/>
          <w:sz w:val="24"/>
          <w:szCs w:val="24"/>
        </w:rPr>
      </w:pPr>
      <w:r w:rsidRPr="00CB2D9F">
        <w:rPr>
          <w:rFonts w:ascii="Arial" w:hAnsi="Arial" w:cs="Arial"/>
          <w:sz w:val="24"/>
          <w:szCs w:val="24"/>
        </w:rPr>
        <w:t xml:space="preserve">DoD’s exercise of the march-in authority could have </w:t>
      </w:r>
      <w:r w:rsidR="007D11F5" w:rsidRPr="00CB2D9F">
        <w:rPr>
          <w:rFonts w:ascii="Arial" w:hAnsi="Arial" w:cs="Arial"/>
          <w:sz w:val="24"/>
          <w:szCs w:val="24"/>
        </w:rPr>
        <w:t>a chilling effect</w:t>
      </w:r>
      <w:r w:rsidRPr="00CB2D9F">
        <w:rPr>
          <w:rFonts w:ascii="Arial" w:hAnsi="Arial" w:cs="Arial"/>
          <w:sz w:val="24"/>
          <w:szCs w:val="24"/>
        </w:rPr>
        <w:t xml:space="preserve"> on the willingness of contractors and others to partner with the DoD and jeopardize the ability of Federal technology transfer laws to drive innovation, </w:t>
      </w:r>
      <w:r w:rsidR="00B6039B">
        <w:rPr>
          <w:rFonts w:ascii="Arial" w:hAnsi="Arial" w:cs="Arial"/>
          <w:sz w:val="24"/>
          <w:szCs w:val="24"/>
        </w:rPr>
        <w:t xml:space="preserve">product development </w:t>
      </w:r>
      <w:r w:rsidRPr="00CB2D9F">
        <w:rPr>
          <w:rFonts w:ascii="Arial" w:hAnsi="Arial" w:cs="Arial"/>
          <w:sz w:val="24"/>
          <w:szCs w:val="24"/>
        </w:rPr>
        <w:t xml:space="preserve">and job creation in the U.S.  In the biomedical realm, government partnering with private industry is </w:t>
      </w:r>
      <w:r w:rsidR="00B6039B">
        <w:rPr>
          <w:rFonts w:ascii="Arial" w:hAnsi="Arial" w:cs="Arial"/>
          <w:sz w:val="24"/>
          <w:szCs w:val="24"/>
        </w:rPr>
        <w:t>imperative</w:t>
      </w:r>
      <w:r w:rsidRPr="00CB2D9F">
        <w:rPr>
          <w:rFonts w:ascii="Arial" w:hAnsi="Arial" w:cs="Arial"/>
          <w:sz w:val="24"/>
          <w:szCs w:val="24"/>
        </w:rPr>
        <w:t xml:space="preserve"> to take new drugs and vaccine through the FDA approval </w:t>
      </w:r>
      <w:r w:rsidR="00B6039B">
        <w:rPr>
          <w:rFonts w:ascii="Arial" w:hAnsi="Arial" w:cs="Arial"/>
          <w:sz w:val="24"/>
          <w:szCs w:val="24"/>
        </w:rPr>
        <w:t>process</w:t>
      </w:r>
      <w:r w:rsidRPr="00CB2D9F">
        <w:rPr>
          <w:rFonts w:ascii="Arial" w:hAnsi="Arial" w:cs="Arial"/>
          <w:sz w:val="24"/>
          <w:szCs w:val="24"/>
        </w:rPr>
        <w:t>.</w:t>
      </w:r>
      <w:r w:rsidR="008C7F30" w:rsidRPr="00CB2D9F">
        <w:rPr>
          <w:rFonts w:ascii="Arial" w:hAnsi="Arial" w:cs="Arial"/>
          <w:sz w:val="24"/>
          <w:szCs w:val="24"/>
        </w:rPr>
        <w:t xml:space="preserve">  Uncertainty and concerns about government </w:t>
      </w:r>
      <w:r w:rsidR="000E785F">
        <w:rPr>
          <w:rFonts w:ascii="Arial" w:hAnsi="Arial" w:cs="Arial"/>
          <w:sz w:val="24"/>
          <w:szCs w:val="24"/>
        </w:rPr>
        <w:t>exercise of march-in rights</w:t>
      </w:r>
      <w:r w:rsidR="008C7F30" w:rsidRPr="00CB2D9F">
        <w:rPr>
          <w:rFonts w:ascii="Arial" w:hAnsi="Arial" w:cs="Arial"/>
          <w:sz w:val="24"/>
          <w:szCs w:val="24"/>
        </w:rPr>
        <w:t xml:space="preserve"> could reduce the number of potential investors willing to support the development of needed medicines, equipment and treatments</w:t>
      </w:r>
      <w:r w:rsidR="00B6039B">
        <w:rPr>
          <w:rFonts w:ascii="Arial" w:hAnsi="Arial" w:cs="Arial"/>
          <w:sz w:val="24"/>
          <w:szCs w:val="24"/>
        </w:rPr>
        <w:t xml:space="preserve"> for the Warfighter</w:t>
      </w:r>
      <w:r w:rsidR="008C7F30" w:rsidRPr="00CB2D9F">
        <w:rPr>
          <w:rFonts w:ascii="Arial" w:hAnsi="Arial" w:cs="Arial"/>
          <w:sz w:val="24"/>
          <w:szCs w:val="24"/>
        </w:rPr>
        <w:t>.</w:t>
      </w:r>
    </w:p>
    <w:p w:rsidR="00233FB0" w:rsidRPr="00233FB0" w:rsidRDefault="00233FB0" w:rsidP="00233FB0">
      <w:pPr>
        <w:rPr>
          <w:rFonts w:ascii="Arial" w:hAnsi="Arial" w:cs="Arial"/>
          <w:sz w:val="24"/>
          <w:szCs w:val="24"/>
        </w:rPr>
      </w:pPr>
    </w:p>
    <w:p w:rsidR="00672F01" w:rsidRPr="00233FB0" w:rsidRDefault="00672F01" w:rsidP="00672F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3FB0">
        <w:rPr>
          <w:rFonts w:ascii="Arial" w:hAnsi="Arial" w:cs="Arial"/>
          <w:sz w:val="24"/>
          <w:szCs w:val="24"/>
        </w:rPr>
        <w:t>Facts:</w:t>
      </w:r>
    </w:p>
    <w:p w:rsidR="003A5E69" w:rsidRPr="00233FB0" w:rsidRDefault="003A5E69" w:rsidP="00233FB0">
      <w:pPr>
        <w:rPr>
          <w:rFonts w:ascii="Arial" w:hAnsi="Arial" w:cs="Arial"/>
          <w:sz w:val="24"/>
          <w:szCs w:val="24"/>
        </w:rPr>
      </w:pPr>
    </w:p>
    <w:p w:rsidR="003B6D16" w:rsidRPr="00C7406A" w:rsidRDefault="00C7406A" w:rsidP="003B6D16">
      <w:pPr>
        <w:pStyle w:val="ListParagraph"/>
        <w:numPr>
          <w:ilvl w:val="1"/>
          <w:numId w:val="1"/>
        </w:numPr>
        <w:ind w:left="0" w:firstLine="1080"/>
        <w:rPr>
          <w:rFonts w:ascii="Arial" w:hAnsi="Arial" w:cs="Arial"/>
          <w:sz w:val="24"/>
          <w:szCs w:val="24"/>
        </w:rPr>
      </w:pPr>
      <w:r w:rsidRPr="00C7406A">
        <w:rPr>
          <w:rFonts w:ascii="Arial" w:hAnsi="Arial" w:cs="Arial"/>
          <w:sz w:val="24"/>
          <w:szCs w:val="24"/>
        </w:rPr>
        <w:t>The Request</w:t>
      </w:r>
      <w:r>
        <w:rPr>
          <w:rFonts w:ascii="Arial" w:hAnsi="Arial" w:cs="Arial"/>
          <w:sz w:val="24"/>
          <w:szCs w:val="24"/>
        </w:rPr>
        <w:t xml:space="preserve"> to exercise march-in rights</w:t>
      </w:r>
      <w:r w:rsidRPr="00C7406A">
        <w:rPr>
          <w:rFonts w:ascii="Arial" w:hAnsi="Arial" w:cs="Arial"/>
          <w:sz w:val="24"/>
          <w:szCs w:val="24"/>
        </w:rPr>
        <w:t xml:space="preserve">, dated January 14, 2016, was addressed to the </w:t>
      </w:r>
      <w:r>
        <w:rPr>
          <w:rFonts w:ascii="Arial" w:hAnsi="Arial" w:cs="Arial"/>
          <w:sz w:val="24"/>
          <w:szCs w:val="24"/>
        </w:rPr>
        <w:t xml:space="preserve">DHHS, </w:t>
      </w:r>
      <w:r w:rsidR="00EB1228">
        <w:rPr>
          <w:rFonts w:ascii="Arial" w:hAnsi="Arial" w:cs="Arial"/>
          <w:sz w:val="24"/>
          <w:szCs w:val="24"/>
        </w:rPr>
        <w:t>NIH, and the DoD.  The R</w:t>
      </w:r>
      <w:r w:rsidRPr="00C7406A">
        <w:rPr>
          <w:rFonts w:ascii="Arial" w:hAnsi="Arial" w:cs="Arial"/>
          <w:sz w:val="24"/>
          <w:szCs w:val="24"/>
        </w:rPr>
        <w:t xml:space="preserve">equestors are Knowledge Ecology International (KEI) and The Union for Affordable Cancer Treatment (UACT), both non-profit organizations, hereinafter referred to as “KEI.”  KEI has requested that DoD </w:t>
      </w:r>
      <w:r w:rsidR="00EB61CB">
        <w:rPr>
          <w:rFonts w:ascii="Arial" w:hAnsi="Arial" w:cs="Arial"/>
          <w:sz w:val="24"/>
          <w:szCs w:val="24"/>
        </w:rPr>
        <w:t xml:space="preserve">exercise its government purpose license or </w:t>
      </w:r>
      <w:r w:rsidRPr="00C7406A">
        <w:rPr>
          <w:rFonts w:ascii="Arial" w:hAnsi="Arial" w:cs="Arial"/>
          <w:sz w:val="24"/>
          <w:szCs w:val="24"/>
        </w:rPr>
        <w:t>its march-in rights under the Bayh-Dole Act</w:t>
      </w:r>
      <w:r w:rsidR="00EB61CB">
        <w:rPr>
          <w:rFonts w:ascii="Arial" w:hAnsi="Arial" w:cs="Arial"/>
          <w:sz w:val="24"/>
          <w:szCs w:val="24"/>
        </w:rPr>
        <w:t xml:space="preserve"> </w:t>
      </w:r>
      <w:r w:rsidRPr="00C7406A">
        <w:rPr>
          <w:rFonts w:ascii="Arial" w:hAnsi="Arial" w:cs="Arial"/>
          <w:sz w:val="24"/>
          <w:szCs w:val="24"/>
        </w:rPr>
        <w:t>with regard to the drug enzalutamide</w:t>
      </w:r>
      <w:r w:rsidR="00547B18">
        <w:rPr>
          <w:rFonts w:ascii="Arial" w:hAnsi="Arial" w:cs="Arial"/>
          <w:sz w:val="24"/>
          <w:szCs w:val="24"/>
        </w:rPr>
        <w:t>.</w:t>
      </w:r>
    </w:p>
    <w:p w:rsidR="00C7406A" w:rsidRPr="00C7406A" w:rsidRDefault="00C7406A" w:rsidP="00C7406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3B6D16" w:rsidRPr="00547B18" w:rsidRDefault="00547B18" w:rsidP="003A5E69">
      <w:pPr>
        <w:pStyle w:val="ListParagraph"/>
        <w:numPr>
          <w:ilvl w:val="1"/>
          <w:numId w:val="1"/>
        </w:numPr>
        <w:ind w:left="0" w:firstLine="1080"/>
        <w:rPr>
          <w:rFonts w:ascii="Arial" w:hAnsi="Arial" w:cs="Arial"/>
          <w:sz w:val="24"/>
          <w:szCs w:val="24"/>
        </w:rPr>
      </w:pPr>
      <w:r w:rsidRPr="00547B18">
        <w:rPr>
          <w:rFonts w:ascii="Arial" w:hAnsi="Arial" w:cs="Arial"/>
          <w:sz w:val="24"/>
          <w:szCs w:val="24"/>
        </w:rPr>
        <w:t xml:space="preserve">Invention and development of enzalutamide was funded in part by NIH and DoD awards to the University of California at Los Angeles. </w:t>
      </w:r>
      <w:r w:rsidR="00E455EA">
        <w:rPr>
          <w:rFonts w:ascii="Arial" w:hAnsi="Arial" w:cs="Arial"/>
          <w:sz w:val="24"/>
          <w:szCs w:val="24"/>
        </w:rPr>
        <w:t>Several patents were obtained and assigned to the Regents of The University of California (Regents).</w:t>
      </w:r>
      <w:r w:rsidRPr="00547B18">
        <w:rPr>
          <w:rFonts w:ascii="Arial" w:hAnsi="Arial" w:cs="Arial"/>
          <w:sz w:val="24"/>
          <w:szCs w:val="24"/>
        </w:rPr>
        <w:t xml:space="preserve">  Enzalutamide is FDA approved and marketed under the brand name “Xtandi</w:t>
      </w:r>
      <w:r w:rsidR="002416D1">
        <w:rPr>
          <w:rFonts w:ascii="Arial" w:hAnsi="Arial" w:cs="Arial"/>
          <w:sz w:val="24"/>
          <w:szCs w:val="24"/>
        </w:rPr>
        <w:t>®</w:t>
      </w:r>
      <w:r w:rsidRPr="00547B18">
        <w:rPr>
          <w:rFonts w:ascii="Arial" w:hAnsi="Arial" w:cs="Arial"/>
          <w:sz w:val="24"/>
          <w:szCs w:val="24"/>
        </w:rPr>
        <w:t xml:space="preserve">” by Astellas Pharma, </w:t>
      </w:r>
      <w:r w:rsidR="00EB61CB">
        <w:rPr>
          <w:rFonts w:ascii="Arial" w:hAnsi="Arial" w:cs="Arial"/>
          <w:sz w:val="24"/>
          <w:szCs w:val="24"/>
        </w:rPr>
        <w:t xml:space="preserve">a licensee of </w:t>
      </w:r>
      <w:r w:rsidR="00E455EA">
        <w:rPr>
          <w:rFonts w:ascii="Arial" w:hAnsi="Arial" w:cs="Arial"/>
          <w:sz w:val="24"/>
          <w:szCs w:val="24"/>
        </w:rPr>
        <w:t>Regents</w:t>
      </w:r>
      <w:r w:rsidRPr="00547B18">
        <w:rPr>
          <w:rFonts w:ascii="Arial" w:hAnsi="Arial" w:cs="Arial"/>
          <w:sz w:val="24"/>
          <w:szCs w:val="24"/>
        </w:rPr>
        <w:t>.  Xtandi</w:t>
      </w:r>
      <w:r w:rsidR="002416D1">
        <w:rPr>
          <w:rFonts w:ascii="Arial" w:hAnsi="Arial" w:cs="Arial"/>
          <w:sz w:val="24"/>
          <w:szCs w:val="24"/>
        </w:rPr>
        <w:t>®</w:t>
      </w:r>
      <w:r w:rsidRPr="00547B18">
        <w:rPr>
          <w:rFonts w:ascii="Arial" w:hAnsi="Arial" w:cs="Arial"/>
          <w:sz w:val="24"/>
          <w:szCs w:val="24"/>
        </w:rPr>
        <w:t xml:space="preserve"> is used to treat </w:t>
      </w:r>
      <w:r>
        <w:rPr>
          <w:rFonts w:ascii="Arial" w:hAnsi="Arial" w:cs="Arial"/>
          <w:sz w:val="24"/>
          <w:szCs w:val="24"/>
        </w:rPr>
        <w:t xml:space="preserve">metastatic </w:t>
      </w:r>
      <w:r w:rsidRPr="00547B18">
        <w:rPr>
          <w:rFonts w:ascii="Arial" w:hAnsi="Arial" w:cs="Arial"/>
          <w:sz w:val="24"/>
          <w:szCs w:val="24"/>
        </w:rPr>
        <w:t xml:space="preserve">prostate cancer.  </w:t>
      </w:r>
    </w:p>
    <w:p w:rsidR="00547B18" w:rsidRPr="00547B18" w:rsidRDefault="00547B18" w:rsidP="00547B18">
      <w:pPr>
        <w:pStyle w:val="ListParagraph"/>
        <w:rPr>
          <w:rFonts w:ascii="Arial" w:hAnsi="Arial" w:cs="Arial"/>
          <w:sz w:val="24"/>
          <w:szCs w:val="24"/>
        </w:rPr>
      </w:pPr>
    </w:p>
    <w:p w:rsidR="00547B18" w:rsidRDefault="00547B18" w:rsidP="00547B18">
      <w:pPr>
        <w:pStyle w:val="ListParagraph"/>
        <w:numPr>
          <w:ilvl w:val="1"/>
          <w:numId w:val="1"/>
        </w:numPr>
        <w:ind w:left="0" w:firstLine="1080"/>
        <w:rPr>
          <w:rFonts w:ascii="Arial" w:hAnsi="Arial" w:cs="Arial"/>
          <w:sz w:val="24"/>
          <w:szCs w:val="24"/>
        </w:rPr>
      </w:pPr>
      <w:r w:rsidRPr="00EB61CB">
        <w:rPr>
          <w:rFonts w:ascii="Arial" w:hAnsi="Arial" w:cs="Arial"/>
          <w:sz w:val="24"/>
          <w:szCs w:val="24"/>
        </w:rPr>
        <w:lastRenderedPageBreak/>
        <w:t>KEI states that the price of Xtandi</w:t>
      </w:r>
      <w:r w:rsidR="002416D1">
        <w:rPr>
          <w:rFonts w:ascii="Arial" w:hAnsi="Arial" w:cs="Arial"/>
          <w:sz w:val="24"/>
          <w:szCs w:val="24"/>
        </w:rPr>
        <w:t>®</w:t>
      </w:r>
      <w:r w:rsidRPr="00EB61CB">
        <w:rPr>
          <w:rFonts w:ascii="Arial" w:hAnsi="Arial" w:cs="Arial"/>
          <w:sz w:val="24"/>
          <w:szCs w:val="24"/>
        </w:rPr>
        <w:t xml:space="preserve"> in the United States is far higher than the price of the drug in other countries, including high income countries.  KEI asks the DHHS, NIH and DoD to use its march-in authority to address the disparity in price of Xtandi.</w:t>
      </w:r>
      <w:r w:rsidR="002416D1">
        <w:rPr>
          <w:rFonts w:ascii="Arial" w:hAnsi="Arial" w:cs="Arial"/>
          <w:sz w:val="24"/>
          <w:szCs w:val="24"/>
        </w:rPr>
        <w:t>®</w:t>
      </w:r>
      <w:r w:rsidRPr="00EB61CB">
        <w:rPr>
          <w:rFonts w:ascii="Arial" w:hAnsi="Arial" w:cs="Arial"/>
          <w:sz w:val="24"/>
          <w:szCs w:val="24"/>
        </w:rPr>
        <w:t xml:space="preserve">  KEI proposes that the Federal government exercise its march-in rights by granting an open patent license to any generic drug manufacturer to make</w:t>
      </w:r>
      <w:r w:rsidR="00DA5FA8">
        <w:rPr>
          <w:rFonts w:ascii="Arial" w:hAnsi="Arial" w:cs="Arial"/>
          <w:sz w:val="24"/>
          <w:szCs w:val="24"/>
        </w:rPr>
        <w:t xml:space="preserve"> e</w:t>
      </w:r>
      <w:r w:rsidR="00DA5FA8" w:rsidRPr="00547B18">
        <w:rPr>
          <w:rFonts w:ascii="Arial" w:hAnsi="Arial" w:cs="Arial"/>
          <w:sz w:val="24"/>
          <w:szCs w:val="24"/>
        </w:rPr>
        <w:t>nzalutamide</w:t>
      </w:r>
      <w:r w:rsidRPr="00EB61CB">
        <w:rPr>
          <w:rFonts w:ascii="Arial" w:hAnsi="Arial" w:cs="Arial"/>
          <w:sz w:val="24"/>
          <w:szCs w:val="24"/>
        </w:rPr>
        <w:t xml:space="preserve">.  </w:t>
      </w:r>
    </w:p>
    <w:p w:rsidR="00753673" w:rsidRPr="00753673" w:rsidRDefault="00753673" w:rsidP="00753673">
      <w:pPr>
        <w:pStyle w:val="ListParagraph"/>
        <w:rPr>
          <w:rFonts w:ascii="Arial" w:hAnsi="Arial" w:cs="Arial"/>
          <w:sz w:val="24"/>
          <w:szCs w:val="24"/>
        </w:rPr>
      </w:pPr>
    </w:p>
    <w:p w:rsidR="00753673" w:rsidRDefault="00753673" w:rsidP="00547B18">
      <w:pPr>
        <w:pStyle w:val="ListParagraph"/>
        <w:numPr>
          <w:ilvl w:val="1"/>
          <w:numId w:val="1"/>
        </w:numPr>
        <w:ind w:left="0" w:firstLine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March-in rights may be exercised by the government if any of the four following conditions exist:  (1) the contractor or assignee has not taken or is not expected to take effective steps in a reasonable period of time to achieve practical application of the invention; (2) health or safety needs are not reasonably satisfied by the contractor, assignee or licensees; (3) public use requirements are not reasonably satisfied by the contractor, assignee or licensees; or (4) the preference for manufacture of the invention in the U.S. has not been satisfied and has not been waived by the government.</w:t>
      </w:r>
    </w:p>
    <w:p w:rsidR="00EB61CB" w:rsidRPr="00EB61CB" w:rsidRDefault="00EB61CB" w:rsidP="00EB61CB">
      <w:pPr>
        <w:pStyle w:val="ListParagraph"/>
        <w:rPr>
          <w:rFonts w:ascii="Arial" w:hAnsi="Arial" w:cs="Arial"/>
          <w:sz w:val="24"/>
          <w:szCs w:val="24"/>
        </w:rPr>
      </w:pPr>
    </w:p>
    <w:p w:rsidR="00547B18" w:rsidRDefault="00547B18" w:rsidP="003A5E69">
      <w:pPr>
        <w:pStyle w:val="ListParagraph"/>
        <w:numPr>
          <w:ilvl w:val="1"/>
          <w:numId w:val="1"/>
        </w:numPr>
        <w:ind w:left="0" w:firstLine="1080"/>
        <w:rPr>
          <w:rFonts w:ascii="Arial" w:hAnsi="Arial" w:cs="Arial"/>
          <w:sz w:val="24"/>
          <w:szCs w:val="24"/>
        </w:rPr>
      </w:pPr>
      <w:r w:rsidRPr="00CF19D4">
        <w:rPr>
          <w:rFonts w:ascii="Arial" w:hAnsi="Arial" w:cs="Arial"/>
          <w:sz w:val="24"/>
          <w:szCs w:val="24"/>
        </w:rPr>
        <w:t xml:space="preserve">KEI relies upon 35 U.S.C. 203(a)(1) as support for its request </w:t>
      </w:r>
      <w:r w:rsidR="00E455EA">
        <w:rPr>
          <w:rFonts w:ascii="Arial" w:hAnsi="Arial" w:cs="Arial"/>
          <w:sz w:val="24"/>
          <w:szCs w:val="24"/>
        </w:rPr>
        <w:t>to</w:t>
      </w:r>
      <w:r w:rsidRPr="00CF19D4">
        <w:rPr>
          <w:rFonts w:ascii="Arial" w:hAnsi="Arial" w:cs="Arial"/>
          <w:sz w:val="24"/>
          <w:szCs w:val="24"/>
        </w:rPr>
        <w:t xml:space="preserve"> exercise march-in rights. </w:t>
      </w:r>
      <w:r w:rsidR="00E455EA">
        <w:rPr>
          <w:rFonts w:ascii="Arial" w:hAnsi="Arial" w:cs="Arial"/>
          <w:sz w:val="24"/>
          <w:szCs w:val="24"/>
        </w:rPr>
        <w:t xml:space="preserve"> </w:t>
      </w:r>
      <w:r w:rsidR="009117FC">
        <w:rPr>
          <w:rFonts w:ascii="Arial" w:hAnsi="Arial" w:cs="Arial"/>
          <w:sz w:val="24"/>
          <w:szCs w:val="24"/>
        </w:rPr>
        <w:t xml:space="preserve">Section 203(a)(1) would permit the government to require </w:t>
      </w:r>
      <w:r w:rsidR="00E455EA">
        <w:rPr>
          <w:rFonts w:ascii="Arial" w:hAnsi="Arial" w:cs="Arial"/>
          <w:sz w:val="24"/>
          <w:szCs w:val="24"/>
        </w:rPr>
        <w:t>Regents</w:t>
      </w:r>
      <w:r w:rsidR="009117FC">
        <w:rPr>
          <w:rFonts w:ascii="Arial" w:hAnsi="Arial" w:cs="Arial"/>
          <w:sz w:val="24"/>
          <w:szCs w:val="24"/>
        </w:rPr>
        <w:t xml:space="preserve">, its assignee or exclusive licensee to grant a license to a responsible applicant </w:t>
      </w:r>
      <w:r w:rsidR="00E51877">
        <w:rPr>
          <w:rFonts w:ascii="Arial" w:hAnsi="Arial" w:cs="Arial"/>
          <w:sz w:val="24"/>
          <w:szCs w:val="24"/>
        </w:rPr>
        <w:t xml:space="preserve">if </w:t>
      </w:r>
      <w:r w:rsidR="00E455EA">
        <w:rPr>
          <w:rFonts w:ascii="Arial" w:hAnsi="Arial" w:cs="Arial"/>
          <w:sz w:val="24"/>
          <w:szCs w:val="24"/>
        </w:rPr>
        <w:t>Regents</w:t>
      </w:r>
      <w:r w:rsidR="00E51877">
        <w:rPr>
          <w:rFonts w:ascii="Arial" w:hAnsi="Arial" w:cs="Arial"/>
          <w:sz w:val="24"/>
          <w:szCs w:val="24"/>
        </w:rPr>
        <w:t xml:space="preserve"> or its assignee</w:t>
      </w:r>
      <w:r w:rsidR="009117FC">
        <w:rPr>
          <w:rFonts w:ascii="Arial" w:hAnsi="Arial" w:cs="Arial"/>
          <w:sz w:val="24"/>
          <w:szCs w:val="24"/>
        </w:rPr>
        <w:t xml:space="preserve"> have not taken, or are not expected to take with a reasonable time, effective steps to achieve practical application of the invention.  </w:t>
      </w:r>
      <w:r w:rsidRPr="00CF19D4">
        <w:rPr>
          <w:rFonts w:ascii="Arial" w:hAnsi="Arial" w:cs="Arial"/>
          <w:sz w:val="24"/>
          <w:szCs w:val="24"/>
        </w:rPr>
        <w:t>KEI argues that the definition of “practical application”</w:t>
      </w:r>
      <w:r w:rsidR="00E51877">
        <w:rPr>
          <w:rFonts w:ascii="Arial" w:hAnsi="Arial" w:cs="Arial"/>
          <w:sz w:val="24"/>
          <w:szCs w:val="24"/>
        </w:rPr>
        <w:t xml:space="preserve"> in 35 U.S.C. 201(f)</w:t>
      </w:r>
      <w:r w:rsidRPr="00CF19D4">
        <w:rPr>
          <w:rFonts w:ascii="Arial" w:hAnsi="Arial" w:cs="Arial"/>
          <w:sz w:val="24"/>
          <w:szCs w:val="24"/>
        </w:rPr>
        <w:t xml:space="preserve"> includes a condition that the benefits of the invention be available to the public on reasonable terms and that Xtandi’s excessively high price does not constitute “reasonable terms.”</w:t>
      </w:r>
      <w:r w:rsidR="000F17B5">
        <w:rPr>
          <w:rFonts w:ascii="Arial" w:hAnsi="Arial" w:cs="Arial"/>
          <w:sz w:val="24"/>
          <w:szCs w:val="24"/>
        </w:rPr>
        <w:t xml:space="preserve">  </w:t>
      </w:r>
      <w:r w:rsidR="000F17B5" w:rsidRPr="00CF19D4">
        <w:rPr>
          <w:rFonts w:ascii="Arial" w:hAnsi="Arial" w:cs="Arial"/>
          <w:sz w:val="24"/>
          <w:szCs w:val="24"/>
        </w:rPr>
        <w:t xml:space="preserve">KEI </w:t>
      </w:r>
      <w:r w:rsidR="000F17B5">
        <w:rPr>
          <w:rFonts w:ascii="Arial" w:hAnsi="Arial" w:cs="Arial"/>
          <w:sz w:val="24"/>
          <w:szCs w:val="24"/>
        </w:rPr>
        <w:t xml:space="preserve">also </w:t>
      </w:r>
      <w:r w:rsidR="000F17B5" w:rsidRPr="00CF19D4">
        <w:rPr>
          <w:rFonts w:ascii="Arial" w:hAnsi="Arial" w:cs="Arial"/>
          <w:sz w:val="24"/>
          <w:szCs w:val="24"/>
        </w:rPr>
        <w:t>argues that Xtandi</w:t>
      </w:r>
      <w:r w:rsidR="002416D1">
        <w:rPr>
          <w:rFonts w:ascii="Arial" w:hAnsi="Arial" w:cs="Arial"/>
          <w:sz w:val="24"/>
          <w:szCs w:val="24"/>
        </w:rPr>
        <w:t>®</w:t>
      </w:r>
      <w:r w:rsidR="000F17B5" w:rsidRPr="00CF19D4">
        <w:rPr>
          <w:rFonts w:ascii="Arial" w:hAnsi="Arial" w:cs="Arial"/>
          <w:sz w:val="24"/>
          <w:szCs w:val="24"/>
        </w:rPr>
        <w:t xml:space="preserve"> is so expensive that the price</w:t>
      </w:r>
      <w:r w:rsidR="000F17B5">
        <w:rPr>
          <w:rFonts w:ascii="Arial" w:hAnsi="Arial" w:cs="Arial"/>
          <w:sz w:val="24"/>
          <w:szCs w:val="24"/>
        </w:rPr>
        <w:t xml:space="preserve"> effectively</w:t>
      </w:r>
      <w:r w:rsidR="000F17B5" w:rsidRPr="00CF19D4">
        <w:rPr>
          <w:rFonts w:ascii="Arial" w:hAnsi="Arial" w:cs="Arial"/>
          <w:sz w:val="24"/>
          <w:szCs w:val="24"/>
        </w:rPr>
        <w:t xml:space="preserve"> limits public access to the drug.</w:t>
      </w:r>
    </w:p>
    <w:p w:rsidR="00E37AF8" w:rsidRPr="00E37AF8" w:rsidRDefault="00E37AF8" w:rsidP="00E37AF8">
      <w:pPr>
        <w:pStyle w:val="ListParagraph"/>
        <w:rPr>
          <w:rFonts w:ascii="Arial" w:hAnsi="Arial" w:cs="Arial"/>
          <w:sz w:val="24"/>
          <w:szCs w:val="24"/>
        </w:rPr>
      </w:pPr>
    </w:p>
    <w:p w:rsidR="00753673" w:rsidRDefault="00E455EA" w:rsidP="003A5E69">
      <w:pPr>
        <w:pStyle w:val="ListParagraph"/>
        <w:numPr>
          <w:ilvl w:val="1"/>
          <w:numId w:val="1"/>
        </w:numPr>
        <w:ind w:left="0" w:firstLine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drafters of the law eventually codified in 35 U.S.C. 203 have stated that the march-in rights provision was never designed to address</w:t>
      </w:r>
      <w:r w:rsidR="00753673">
        <w:rPr>
          <w:rFonts w:ascii="Arial" w:hAnsi="Arial" w:cs="Arial"/>
          <w:sz w:val="24"/>
          <w:szCs w:val="24"/>
        </w:rPr>
        <w:t xml:space="preserve"> price.  Instead, it was designed to address failure to develop and exploit federal</w:t>
      </w:r>
      <w:r w:rsidR="00EB1228">
        <w:rPr>
          <w:rFonts w:ascii="Arial" w:hAnsi="Arial" w:cs="Arial"/>
          <w:sz w:val="24"/>
          <w:szCs w:val="24"/>
        </w:rPr>
        <w:t>ly</w:t>
      </w:r>
      <w:r w:rsidR="00753673">
        <w:rPr>
          <w:rFonts w:ascii="Arial" w:hAnsi="Arial" w:cs="Arial"/>
          <w:sz w:val="24"/>
          <w:szCs w:val="24"/>
        </w:rPr>
        <w:t xml:space="preserve"> funded inventions, </w:t>
      </w:r>
      <w:r w:rsidR="009466CE">
        <w:rPr>
          <w:rFonts w:ascii="Arial" w:hAnsi="Arial" w:cs="Arial"/>
          <w:sz w:val="24"/>
          <w:szCs w:val="24"/>
        </w:rPr>
        <w:t xml:space="preserve">lack of </w:t>
      </w:r>
      <w:r w:rsidR="00753673">
        <w:rPr>
          <w:rFonts w:ascii="Arial" w:hAnsi="Arial" w:cs="Arial"/>
          <w:sz w:val="24"/>
          <w:szCs w:val="24"/>
        </w:rPr>
        <w:t>manufacturing capacity or physical shortages, use during public health emergencies and the like.</w:t>
      </w:r>
    </w:p>
    <w:p w:rsidR="00753673" w:rsidRPr="00753673" w:rsidRDefault="00753673" w:rsidP="00753673">
      <w:pPr>
        <w:pStyle w:val="ListParagraph"/>
        <w:rPr>
          <w:rFonts w:ascii="Arial" w:hAnsi="Arial" w:cs="Arial"/>
          <w:sz w:val="24"/>
          <w:szCs w:val="24"/>
        </w:rPr>
      </w:pPr>
    </w:p>
    <w:p w:rsidR="00E37AF8" w:rsidRDefault="00E51877" w:rsidP="003A5E69">
      <w:pPr>
        <w:pStyle w:val="ListParagraph"/>
        <w:numPr>
          <w:ilvl w:val="1"/>
          <w:numId w:val="1"/>
        </w:numPr>
        <w:ind w:left="0" w:firstLine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Investigation by CDMRP indicates that Xtandi</w:t>
      </w:r>
      <w:r w:rsidR="002416D1">
        <w:rPr>
          <w:rFonts w:ascii="Arial" w:hAnsi="Arial" w:cs="Arial"/>
          <w:sz w:val="24"/>
          <w:szCs w:val="24"/>
        </w:rPr>
        <w:t>®</w:t>
      </w:r>
      <w:r>
        <w:rPr>
          <w:rFonts w:ascii="Arial" w:hAnsi="Arial" w:cs="Arial"/>
          <w:sz w:val="24"/>
          <w:szCs w:val="24"/>
        </w:rPr>
        <w:t xml:space="preserve"> is FDA approved, available to medical providers for the normal 8-month course of treatment, and that its price is comparable to that of other drugs used to treat </w:t>
      </w:r>
      <w:r w:rsidR="00366CF1">
        <w:rPr>
          <w:rFonts w:ascii="Arial" w:hAnsi="Arial" w:cs="Arial"/>
          <w:sz w:val="24"/>
          <w:szCs w:val="24"/>
        </w:rPr>
        <w:t>advanced</w:t>
      </w:r>
      <w:r>
        <w:rPr>
          <w:rFonts w:ascii="Arial" w:hAnsi="Arial" w:cs="Arial"/>
          <w:sz w:val="24"/>
          <w:szCs w:val="24"/>
        </w:rPr>
        <w:t xml:space="preserve"> prostate cancer.</w:t>
      </w:r>
      <w:r w:rsidR="00E455EA">
        <w:rPr>
          <w:rFonts w:ascii="Arial" w:hAnsi="Arial" w:cs="Arial"/>
          <w:sz w:val="24"/>
          <w:szCs w:val="24"/>
        </w:rPr>
        <w:t xml:space="preserve">  Furthermore, there are several access programs that provide financial assistance to patients needing the drug, including plans sponsored by the manufacturer, Astellas.</w:t>
      </w:r>
    </w:p>
    <w:p w:rsidR="00753673" w:rsidRPr="00753673" w:rsidRDefault="00753673" w:rsidP="00753673">
      <w:pPr>
        <w:pStyle w:val="ListParagraph"/>
        <w:rPr>
          <w:rFonts w:ascii="Arial" w:hAnsi="Arial" w:cs="Arial"/>
          <w:sz w:val="24"/>
          <w:szCs w:val="24"/>
        </w:rPr>
      </w:pPr>
    </w:p>
    <w:p w:rsidR="00753673" w:rsidRDefault="00753673" w:rsidP="00547B18">
      <w:pPr>
        <w:pStyle w:val="ListParagraph"/>
        <w:rPr>
          <w:sz w:val="24"/>
          <w:szCs w:val="24"/>
        </w:rPr>
      </w:pPr>
    </w:p>
    <w:p w:rsidR="00547B18" w:rsidRPr="00547B18" w:rsidRDefault="00547B18" w:rsidP="00547B18">
      <w:pPr>
        <w:pStyle w:val="ListParagraph"/>
        <w:rPr>
          <w:rFonts w:ascii="Arial" w:hAnsi="Arial" w:cs="Arial"/>
          <w:sz w:val="24"/>
          <w:szCs w:val="24"/>
        </w:rPr>
      </w:pPr>
    </w:p>
    <w:p w:rsidR="00233FB0" w:rsidRPr="00233FB0" w:rsidRDefault="00233FB0" w:rsidP="00547B18">
      <w:pPr>
        <w:pStyle w:val="ListParagraph"/>
        <w:rPr>
          <w:rFonts w:ascii="Arial" w:hAnsi="Arial" w:cs="Arial"/>
          <w:sz w:val="24"/>
          <w:szCs w:val="24"/>
        </w:rPr>
      </w:pPr>
    </w:p>
    <w:p w:rsidR="003A5E69" w:rsidRPr="00233FB0" w:rsidRDefault="003A5E69" w:rsidP="003A5E69">
      <w:pPr>
        <w:pStyle w:val="ListParagraph"/>
        <w:rPr>
          <w:rFonts w:ascii="Arial" w:hAnsi="Arial" w:cs="Arial"/>
          <w:sz w:val="24"/>
          <w:szCs w:val="24"/>
        </w:rPr>
      </w:pPr>
    </w:p>
    <w:p w:rsidR="00026D7D" w:rsidRPr="00233FB0" w:rsidRDefault="00672F01" w:rsidP="00672F01">
      <w:pPr>
        <w:ind w:left="5040"/>
        <w:rPr>
          <w:rFonts w:ascii="Arial" w:hAnsi="Arial" w:cs="Arial"/>
          <w:sz w:val="24"/>
          <w:szCs w:val="24"/>
        </w:rPr>
      </w:pPr>
      <w:r w:rsidRPr="00233FB0">
        <w:rPr>
          <w:rFonts w:ascii="Arial" w:hAnsi="Arial" w:cs="Arial"/>
          <w:sz w:val="24"/>
          <w:szCs w:val="24"/>
        </w:rPr>
        <w:t xml:space="preserve">Action Officer: </w:t>
      </w:r>
    </w:p>
    <w:p w:rsidR="00026D7D" w:rsidRPr="00233FB0" w:rsidRDefault="00DB55EE" w:rsidP="00672F01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Elizabeth Arwine, Patent </w:t>
      </w:r>
      <w:r w:rsidR="0010060E">
        <w:rPr>
          <w:rFonts w:ascii="Arial" w:hAnsi="Arial" w:cs="Arial"/>
          <w:sz w:val="24"/>
          <w:szCs w:val="24"/>
        </w:rPr>
        <w:t>Attorney</w:t>
      </w:r>
      <w:r w:rsidR="00672F01" w:rsidRPr="00233FB0">
        <w:rPr>
          <w:rFonts w:ascii="Arial" w:hAnsi="Arial" w:cs="Arial"/>
          <w:sz w:val="24"/>
          <w:szCs w:val="24"/>
        </w:rPr>
        <w:t xml:space="preserve"> </w:t>
      </w:r>
    </w:p>
    <w:p w:rsidR="00672F01" w:rsidRPr="00233FB0" w:rsidRDefault="00DB55EE" w:rsidP="00672F01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301-619-7808</w:t>
      </w:r>
    </w:p>
    <w:p w:rsidR="00026D7D" w:rsidRPr="00233FB0" w:rsidRDefault="00026D7D" w:rsidP="00672F01">
      <w:pPr>
        <w:ind w:left="5040"/>
        <w:rPr>
          <w:rFonts w:ascii="Arial" w:hAnsi="Arial" w:cs="Arial"/>
          <w:sz w:val="24"/>
          <w:szCs w:val="24"/>
        </w:rPr>
      </w:pPr>
    </w:p>
    <w:p w:rsidR="00026D7D" w:rsidRPr="00233FB0" w:rsidRDefault="00672F01" w:rsidP="00672F01">
      <w:pPr>
        <w:ind w:left="5040"/>
        <w:rPr>
          <w:rFonts w:ascii="Arial" w:hAnsi="Arial" w:cs="Arial"/>
          <w:sz w:val="24"/>
          <w:szCs w:val="24"/>
        </w:rPr>
      </w:pPr>
      <w:r w:rsidRPr="00233FB0">
        <w:rPr>
          <w:rFonts w:ascii="Arial" w:hAnsi="Arial" w:cs="Arial"/>
          <w:sz w:val="24"/>
          <w:szCs w:val="24"/>
        </w:rPr>
        <w:t xml:space="preserve">Approved by: </w:t>
      </w:r>
    </w:p>
    <w:p w:rsidR="00365014" w:rsidRPr="00233FB0" w:rsidRDefault="00672F01" w:rsidP="003A5E69">
      <w:pPr>
        <w:ind w:left="5040"/>
        <w:rPr>
          <w:rFonts w:ascii="Arial" w:hAnsi="Arial" w:cs="Arial"/>
          <w:sz w:val="24"/>
          <w:szCs w:val="24"/>
        </w:rPr>
      </w:pPr>
      <w:r w:rsidRPr="00233FB0">
        <w:rPr>
          <w:rFonts w:ascii="Arial" w:hAnsi="Arial" w:cs="Arial"/>
          <w:sz w:val="24"/>
          <w:szCs w:val="24"/>
        </w:rPr>
        <w:t xml:space="preserve">LTC </w:t>
      </w:r>
      <w:r w:rsidR="00DB55EE">
        <w:rPr>
          <w:rFonts w:ascii="Arial" w:hAnsi="Arial" w:cs="Arial"/>
          <w:sz w:val="24"/>
          <w:szCs w:val="24"/>
        </w:rPr>
        <w:t>Jonathan Cheney</w:t>
      </w:r>
      <w:r w:rsidR="0010060E">
        <w:rPr>
          <w:rFonts w:ascii="Arial" w:hAnsi="Arial" w:cs="Arial"/>
          <w:sz w:val="24"/>
          <w:szCs w:val="24"/>
        </w:rPr>
        <w:t>, OSJA</w:t>
      </w:r>
    </w:p>
    <w:sectPr w:rsidR="00365014" w:rsidRPr="00233FB0" w:rsidSect="008C6E39">
      <w:footerReference w:type="default" r:id="rId8"/>
      <w:pgSz w:w="12240" w:h="15840"/>
      <w:pgMar w:top="810" w:right="1440" w:bottom="360" w:left="1440" w:header="720" w:footer="14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59" w:rsidRDefault="00130F59">
      <w:r>
        <w:separator/>
      </w:r>
    </w:p>
  </w:endnote>
  <w:endnote w:type="continuationSeparator" w:id="0">
    <w:p w:rsidR="00130F59" w:rsidRDefault="0013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98" w:rsidRDefault="007818EE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0E785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59" w:rsidRDefault="00130F59">
      <w:r>
        <w:separator/>
      </w:r>
    </w:p>
  </w:footnote>
  <w:footnote w:type="continuationSeparator" w:id="0">
    <w:p w:rsidR="00130F59" w:rsidRDefault="0013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7A40"/>
    <w:multiLevelType w:val="hybridMultilevel"/>
    <w:tmpl w:val="35520B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560D"/>
    <w:multiLevelType w:val="hybridMultilevel"/>
    <w:tmpl w:val="11CC43F8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323850"/>
    <w:multiLevelType w:val="hybridMultilevel"/>
    <w:tmpl w:val="155253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A41131"/>
    <w:multiLevelType w:val="hybridMultilevel"/>
    <w:tmpl w:val="4904A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E2"/>
    <w:rsid w:val="00007602"/>
    <w:rsid w:val="00026D7D"/>
    <w:rsid w:val="00053FF5"/>
    <w:rsid w:val="0006219D"/>
    <w:rsid w:val="000714A2"/>
    <w:rsid w:val="00087BC1"/>
    <w:rsid w:val="000C15F6"/>
    <w:rsid w:val="000C4A20"/>
    <w:rsid w:val="000E785F"/>
    <w:rsid w:val="000F17B5"/>
    <w:rsid w:val="000F2F0E"/>
    <w:rsid w:val="0010060E"/>
    <w:rsid w:val="00130F59"/>
    <w:rsid w:val="001434A7"/>
    <w:rsid w:val="0016605E"/>
    <w:rsid w:val="001A133E"/>
    <w:rsid w:val="001E0701"/>
    <w:rsid w:val="001E25DB"/>
    <w:rsid w:val="00233FB0"/>
    <w:rsid w:val="002350CB"/>
    <w:rsid w:val="002416D1"/>
    <w:rsid w:val="0025106C"/>
    <w:rsid w:val="0025167F"/>
    <w:rsid w:val="00255D4D"/>
    <w:rsid w:val="00270171"/>
    <w:rsid w:val="002D21A8"/>
    <w:rsid w:val="00310CD1"/>
    <w:rsid w:val="003110AE"/>
    <w:rsid w:val="0032246C"/>
    <w:rsid w:val="00365014"/>
    <w:rsid w:val="00366CF1"/>
    <w:rsid w:val="00372922"/>
    <w:rsid w:val="003A5E69"/>
    <w:rsid w:val="003B6D16"/>
    <w:rsid w:val="003F7783"/>
    <w:rsid w:val="0042732F"/>
    <w:rsid w:val="0048674A"/>
    <w:rsid w:val="00491D1B"/>
    <w:rsid w:val="0049306B"/>
    <w:rsid w:val="004D27A9"/>
    <w:rsid w:val="00503766"/>
    <w:rsid w:val="00533681"/>
    <w:rsid w:val="00547B18"/>
    <w:rsid w:val="00557FA1"/>
    <w:rsid w:val="00570C74"/>
    <w:rsid w:val="00574374"/>
    <w:rsid w:val="005D4252"/>
    <w:rsid w:val="00615263"/>
    <w:rsid w:val="006226E0"/>
    <w:rsid w:val="006519DF"/>
    <w:rsid w:val="006617D9"/>
    <w:rsid w:val="00672F01"/>
    <w:rsid w:val="006A7C56"/>
    <w:rsid w:val="006D7D68"/>
    <w:rsid w:val="00702BF0"/>
    <w:rsid w:val="00733914"/>
    <w:rsid w:val="00734EFF"/>
    <w:rsid w:val="00753673"/>
    <w:rsid w:val="00772FC1"/>
    <w:rsid w:val="0077552E"/>
    <w:rsid w:val="007818EE"/>
    <w:rsid w:val="007926A3"/>
    <w:rsid w:val="007D11F5"/>
    <w:rsid w:val="007D4B30"/>
    <w:rsid w:val="00854B1D"/>
    <w:rsid w:val="008B1C88"/>
    <w:rsid w:val="008C12FA"/>
    <w:rsid w:val="008C6E39"/>
    <w:rsid w:val="008C7F30"/>
    <w:rsid w:val="008D6D39"/>
    <w:rsid w:val="008F5BCA"/>
    <w:rsid w:val="009117FC"/>
    <w:rsid w:val="00936E07"/>
    <w:rsid w:val="009466CE"/>
    <w:rsid w:val="009604E5"/>
    <w:rsid w:val="009B15E4"/>
    <w:rsid w:val="009C08D5"/>
    <w:rsid w:val="009D4BEA"/>
    <w:rsid w:val="009E71F1"/>
    <w:rsid w:val="009F53D9"/>
    <w:rsid w:val="00A2768C"/>
    <w:rsid w:val="00AE05E2"/>
    <w:rsid w:val="00AF0C8A"/>
    <w:rsid w:val="00B17BE0"/>
    <w:rsid w:val="00B30CFF"/>
    <w:rsid w:val="00B3765F"/>
    <w:rsid w:val="00B555E2"/>
    <w:rsid w:val="00B6039B"/>
    <w:rsid w:val="00B80E0C"/>
    <w:rsid w:val="00BB6DE3"/>
    <w:rsid w:val="00BD70FF"/>
    <w:rsid w:val="00BE4765"/>
    <w:rsid w:val="00C04D10"/>
    <w:rsid w:val="00C05563"/>
    <w:rsid w:val="00C20097"/>
    <w:rsid w:val="00C2142F"/>
    <w:rsid w:val="00C267DC"/>
    <w:rsid w:val="00C46398"/>
    <w:rsid w:val="00C56440"/>
    <w:rsid w:val="00C64014"/>
    <w:rsid w:val="00C7406A"/>
    <w:rsid w:val="00CB0A61"/>
    <w:rsid w:val="00CB2D9F"/>
    <w:rsid w:val="00CE50C5"/>
    <w:rsid w:val="00CF19D4"/>
    <w:rsid w:val="00D24902"/>
    <w:rsid w:val="00D764DA"/>
    <w:rsid w:val="00DA5FA8"/>
    <w:rsid w:val="00DB55EE"/>
    <w:rsid w:val="00DD041D"/>
    <w:rsid w:val="00DD39C2"/>
    <w:rsid w:val="00DE4C94"/>
    <w:rsid w:val="00E34604"/>
    <w:rsid w:val="00E37AF8"/>
    <w:rsid w:val="00E455EA"/>
    <w:rsid w:val="00E51877"/>
    <w:rsid w:val="00E75E8E"/>
    <w:rsid w:val="00EB1228"/>
    <w:rsid w:val="00EB12C7"/>
    <w:rsid w:val="00EB61CB"/>
    <w:rsid w:val="00F2411A"/>
    <w:rsid w:val="00F832FB"/>
    <w:rsid w:val="00FC6F7F"/>
    <w:rsid w:val="00FD3752"/>
    <w:rsid w:val="00FD376F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9C2"/>
  </w:style>
  <w:style w:type="paragraph" w:styleId="Heading1">
    <w:name w:val="heading 1"/>
    <w:basedOn w:val="Normal"/>
    <w:next w:val="Normal"/>
    <w:qFormat/>
    <w:rsid w:val="00DD39C2"/>
    <w:pPr>
      <w:keepNext/>
      <w:outlineLvl w:val="0"/>
    </w:pPr>
    <w:rPr>
      <w:rFonts w:ascii="Courier New" w:hAnsi="Courier New"/>
      <w:sz w:val="24"/>
    </w:rPr>
  </w:style>
  <w:style w:type="paragraph" w:styleId="Heading2">
    <w:name w:val="heading 2"/>
    <w:basedOn w:val="Normal"/>
    <w:next w:val="Normal"/>
    <w:qFormat/>
    <w:rsid w:val="00DD39C2"/>
    <w:pPr>
      <w:keepNext/>
      <w:framePr w:w="5285" w:hSpace="187" w:wrap="auto" w:vAnchor="page" w:hAnchor="page" w:xAlign="center" w:y="901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D39C2"/>
    <w:pPr>
      <w:tabs>
        <w:tab w:val="center" w:pos="4320"/>
        <w:tab w:val="right" w:pos="8640"/>
      </w:tabs>
    </w:pPr>
  </w:style>
  <w:style w:type="paragraph" w:customStyle="1" w:styleId="TEALetterHead">
    <w:name w:val="TEA Letter Head"/>
    <w:basedOn w:val="Normal"/>
    <w:rsid w:val="00DD39C2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paragraph" w:styleId="BalloonText">
    <w:name w:val="Balloon Text"/>
    <w:basedOn w:val="Normal"/>
    <w:link w:val="BalloonTextChar"/>
    <w:rsid w:val="008D6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D39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8D6D39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D6D3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6D39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672F01"/>
    <w:pPr>
      <w:ind w:left="720"/>
      <w:contextualSpacing/>
    </w:pPr>
  </w:style>
  <w:style w:type="paragraph" w:styleId="Header">
    <w:name w:val="header"/>
    <w:basedOn w:val="Normal"/>
    <w:link w:val="HeaderChar"/>
    <w:rsid w:val="0010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060E"/>
  </w:style>
  <w:style w:type="paragraph" w:styleId="FootnoteText">
    <w:name w:val="footnote text"/>
    <w:basedOn w:val="Normal"/>
    <w:link w:val="FootnoteTextChar"/>
    <w:unhideWhenUsed/>
    <w:rsid w:val="00C7406A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C7406A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C7406A"/>
    <w:rPr>
      <w:vertAlign w:val="superscript"/>
    </w:rPr>
  </w:style>
  <w:style w:type="paragraph" w:customStyle="1" w:styleId="contents">
    <w:name w:val="contents"/>
    <w:basedOn w:val="Normal"/>
    <w:rsid w:val="00547B1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9C2"/>
  </w:style>
  <w:style w:type="paragraph" w:styleId="Heading1">
    <w:name w:val="heading 1"/>
    <w:basedOn w:val="Normal"/>
    <w:next w:val="Normal"/>
    <w:qFormat/>
    <w:rsid w:val="00DD39C2"/>
    <w:pPr>
      <w:keepNext/>
      <w:outlineLvl w:val="0"/>
    </w:pPr>
    <w:rPr>
      <w:rFonts w:ascii="Courier New" w:hAnsi="Courier New"/>
      <w:sz w:val="24"/>
    </w:rPr>
  </w:style>
  <w:style w:type="paragraph" w:styleId="Heading2">
    <w:name w:val="heading 2"/>
    <w:basedOn w:val="Normal"/>
    <w:next w:val="Normal"/>
    <w:qFormat/>
    <w:rsid w:val="00DD39C2"/>
    <w:pPr>
      <w:keepNext/>
      <w:framePr w:w="5285" w:hSpace="187" w:wrap="auto" w:vAnchor="page" w:hAnchor="page" w:xAlign="center" w:y="901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D39C2"/>
    <w:pPr>
      <w:tabs>
        <w:tab w:val="center" w:pos="4320"/>
        <w:tab w:val="right" w:pos="8640"/>
      </w:tabs>
    </w:pPr>
  </w:style>
  <w:style w:type="paragraph" w:customStyle="1" w:styleId="TEALetterHead">
    <w:name w:val="TEA Letter Head"/>
    <w:basedOn w:val="Normal"/>
    <w:rsid w:val="00DD39C2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paragraph" w:styleId="BalloonText">
    <w:name w:val="Balloon Text"/>
    <w:basedOn w:val="Normal"/>
    <w:link w:val="BalloonTextChar"/>
    <w:rsid w:val="008D6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D39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8D6D39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D6D3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6D39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672F01"/>
    <w:pPr>
      <w:ind w:left="720"/>
      <w:contextualSpacing/>
    </w:pPr>
  </w:style>
  <w:style w:type="paragraph" w:styleId="Header">
    <w:name w:val="header"/>
    <w:basedOn w:val="Normal"/>
    <w:link w:val="HeaderChar"/>
    <w:rsid w:val="0010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060E"/>
  </w:style>
  <w:style w:type="paragraph" w:styleId="FootnoteText">
    <w:name w:val="footnote text"/>
    <w:basedOn w:val="Normal"/>
    <w:link w:val="FootnoteTextChar"/>
    <w:unhideWhenUsed/>
    <w:rsid w:val="00C7406A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C7406A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C7406A"/>
    <w:rPr>
      <w:vertAlign w:val="superscript"/>
    </w:rPr>
  </w:style>
  <w:style w:type="paragraph" w:customStyle="1" w:styleId="contents">
    <w:name w:val="contents"/>
    <w:basedOn w:val="Normal"/>
    <w:rsid w:val="00547B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BLANK</vt:lpstr>
    </vt:vector>
  </TitlesOfParts>
  <Company>United States Army Alaska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BLANK</dc:title>
  <dc:creator>Valued Gateway 2000 Customer</dc:creator>
  <cp:lastModifiedBy>Arwine, Elizabeth A CIV USARMY MEDCOM USAMRMC (US)</cp:lastModifiedBy>
  <cp:revision>7</cp:revision>
  <cp:lastPrinted>2016-07-19T22:27:00Z</cp:lastPrinted>
  <dcterms:created xsi:type="dcterms:W3CDTF">2016-07-19T21:44:00Z</dcterms:created>
  <dcterms:modified xsi:type="dcterms:W3CDTF">2016-07-21T12:42:00Z</dcterms:modified>
</cp:coreProperties>
</file>